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7" w:rsidRPr="00C05330" w:rsidRDefault="008C53A8">
      <w:pPr>
        <w:pStyle w:val="1"/>
        <w:jc w:val="center"/>
        <w:rPr>
          <w:rFonts w:ascii="宋体" w:hAnsi="宋体"/>
          <w:sz w:val="32"/>
          <w:szCs w:val="32"/>
        </w:rPr>
      </w:pPr>
      <w:bookmarkStart w:id="0" w:name="_Toc397104639"/>
      <w:r w:rsidRPr="00C05330">
        <w:rPr>
          <w:rFonts w:ascii="宋体" w:hAnsi="宋体" w:hint="eastAsia"/>
          <w:sz w:val="32"/>
          <w:szCs w:val="32"/>
        </w:rPr>
        <w:t>化工与化学学院</w:t>
      </w:r>
      <w:bookmarkEnd w:id="0"/>
    </w:p>
    <w:p w:rsidR="00144677" w:rsidRPr="00C05330" w:rsidRDefault="008C53A8">
      <w:pPr>
        <w:pStyle w:val="1"/>
        <w:jc w:val="center"/>
        <w:rPr>
          <w:rFonts w:ascii="宋体" w:hAnsi="宋体"/>
          <w:sz w:val="32"/>
          <w:szCs w:val="32"/>
        </w:rPr>
      </w:pPr>
      <w:r w:rsidRPr="00C05330">
        <w:rPr>
          <w:rFonts w:ascii="宋体" w:hAnsi="宋体" w:hint="eastAsia"/>
          <w:sz w:val="32"/>
          <w:szCs w:val="32"/>
        </w:rPr>
        <w:t>学术学位研究生硕博贯通培养方案</w:t>
      </w:r>
    </w:p>
    <w:p w:rsidR="00144677" w:rsidRPr="00C05330" w:rsidRDefault="008C53A8">
      <w:pPr>
        <w:pStyle w:val="1"/>
        <w:rPr>
          <w:sz w:val="28"/>
          <w:szCs w:val="28"/>
        </w:rPr>
      </w:pPr>
      <w:bookmarkStart w:id="1" w:name="_Toc397104642"/>
      <w:r w:rsidRPr="00C05330">
        <w:rPr>
          <w:sz w:val="28"/>
          <w:szCs w:val="28"/>
        </w:rPr>
        <w:t>学科代码：</w:t>
      </w:r>
      <w:r w:rsidRPr="00C05330">
        <w:rPr>
          <w:rFonts w:hint="eastAsia"/>
          <w:sz w:val="28"/>
          <w:szCs w:val="28"/>
        </w:rPr>
        <w:t>0817</w:t>
      </w:r>
      <w:r w:rsidRPr="00C05330">
        <w:rPr>
          <w:sz w:val="28"/>
          <w:szCs w:val="28"/>
        </w:rPr>
        <w:t xml:space="preserve">                </w:t>
      </w:r>
      <w:r w:rsidRPr="00C05330">
        <w:rPr>
          <w:sz w:val="28"/>
          <w:szCs w:val="28"/>
        </w:rPr>
        <w:t>学科名称：</w:t>
      </w:r>
      <w:bookmarkEnd w:id="1"/>
      <w:r w:rsidRPr="00C05330">
        <w:rPr>
          <w:sz w:val="28"/>
          <w:szCs w:val="28"/>
        </w:rPr>
        <w:t>化学工程与技术</w:t>
      </w:r>
    </w:p>
    <w:p w:rsidR="00144677" w:rsidRPr="00C05330" w:rsidRDefault="008C53A8" w:rsidP="001B3F30">
      <w:pPr>
        <w:widowControl/>
        <w:adjustRightInd w:val="0"/>
        <w:snapToGrid w:val="0"/>
        <w:spacing w:before="240"/>
        <w:jc w:val="left"/>
        <w:rPr>
          <w:rFonts w:ascii="仿宋" w:eastAsia="仿宋" w:hAnsi="仿宋" w:cs="Arial"/>
          <w:b/>
          <w:bCs/>
          <w:kern w:val="0"/>
          <w:sz w:val="28"/>
          <w:szCs w:val="28"/>
        </w:rPr>
      </w:pPr>
      <w:r w:rsidRPr="00C05330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1.</w:t>
      </w:r>
      <w:r w:rsidRPr="00C05330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ab/>
        <w:t>培养目标</w:t>
      </w:r>
    </w:p>
    <w:p w:rsidR="00144677" w:rsidRPr="00C05330" w:rsidRDefault="008C53A8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C05330">
        <w:rPr>
          <w:rFonts w:ascii="仿宋" w:eastAsia="仿宋" w:hAnsi="仿宋" w:hint="eastAsia"/>
          <w:sz w:val="24"/>
        </w:rPr>
        <w:t>面向世界科技前沿、面向经济主战场、面向国家重大需求、面向人民生命健康，立足航天、服务国防，注重理工结合与学科交叉，培养具有家国情怀、社会责任感强、具有较强创新能力和国际化视野、基础理论扎实、专业知识系统、综合素质全面，德智体美劳全面发展，能够独立地、创造性地从事化工领域的科学研究、教学、管理工作，引领化学工程与技术和化学行业未来发展的杰出人才。</w:t>
      </w:r>
    </w:p>
    <w:p w:rsidR="00144677" w:rsidRPr="00C05330" w:rsidRDefault="008C53A8" w:rsidP="001B3F30">
      <w:pPr>
        <w:widowControl/>
        <w:adjustRightInd w:val="0"/>
        <w:snapToGrid w:val="0"/>
        <w:spacing w:before="240"/>
        <w:jc w:val="left"/>
        <w:rPr>
          <w:rFonts w:ascii="仿宋" w:eastAsia="仿宋" w:hAnsi="仿宋" w:cs="Arial"/>
          <w:b/>
          <w:bCs/>
          <w:kern w:val="0"/>
          <w:sz w:val="28"/>
          <w:szCs w:val="28"/>
        </w:rPr>
      </w:pPr>
      <w:r w:rsidRPr="00C05330">
        <w:rPr>
          <w:rFonts w:ascii="仿宋" w:eastAsia="仿宋" w:hAnsi="仿宋" w:cs="Arial"/>
          <w:b/>
          <w:bCs/>
          <w:kern w:val="0"/>
          <w:sz w:val="28"/>
          <w:szCs w:val="28"/>
        </w:rPr>
        <w:t>2</w:t>
      </w:r>
      <w:r w:rsidRPr="00C05330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. 学术学位研究生的基本要求</w:t>
      </w:r>
    </w:p>
    <w:p w:rsidR="00144677" w:rsidRPr="00C05330" w:rsidRDefault="008C53A8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C05330">
        <w:rPr>
          <w:rFonts w:ascii="仿宋" w:eastAsia="仿宋" w:hAnsi="仿宋" w:hint="eastAsia"/>
          <w:sz w:val="24"/>
        </w:rPr>
        <w:t>1）应具备的基本素质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ascii="仿宋" w:eastAsia="仿宋" w:hAnsi="仿宋"/>
          <w:sz w:val="24"/>
        </w:rPr>
      </w:pPr>
      <w:r w:rsidRPr="00C05330">
        <w:rPr>
          <w:rFonts w:ascii="仿宋" w:eastAsia="仿宋" w:hAnsi="仿宋" w:hint="eastAsia"/>
          <w:sz w:val="24"/>
        </w:rPr>
        <w:t>遵纪守法、品行端正、诚实守信、身心健康，恪守学术规范和学术道德规范；求真务实、严谨治学，具备良好的敬业精神和创新能力；掌握本学科坚实的基础理论和系统的专门知识，有较宽的知识面、较强的自学能力和较突出的综合素质，具有独立从事科学研究或担负专门的技术、生产与管理工作的能力。</w:t>
      </w:r>
    </w:p>
    <w:p w:rsidR="00144677" w:rsidRPr="00C05330" w:rsidRDefault="008C53A8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C05330">
        <w:rPr>
          <w:rFonts w:ascii="仿宋" w:eastAsia="仿宋" w:hAnsi="仿宋" w:hint="eastAsia"/>
          <w:sz w:val="24"/>
        </w:rPr>
        <w:t>2）应掌握的基本知识及结构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ascii="仿宋" w:eastAsia="仿宋" w:hAnsi="仿宋"/>
          <w:color w:val="FF0000"/>
          <w:sz w:val="24"/>
        </w:rPr>
      </w:pPr>
      <w:r w:rsidRPr="00C05330">
        <w:rPr>
          <w:rFonts w:ascii="仿宋" w:eastAsia="仿宋" w:hAnsi="仿宋" w:hint="eastAsia"/>
          <w:sz w:val="24"/>
        </w:rPr>
        <w:t>掌握化学工程与技术学科坚实的基础理论、系统深入的专业知识，具备一定的学科综合知识和相关交叉学科知识，深入了解学科方向的发展趋势及前沿研究领域。全面掌握学科常用的研究方法、实验技能、测试手段、仪器设备、分析软件、计算机模拟等方法与技术。获硕士学位应至少掌握一门外国语，能熟练运用外语进行文献阅读、论文写作，以及与国际同行进行学术交流，获博士学位还应掌握本领域学术前沿，选题具有较大的理论意义或实际意义，在理论或方法上有创新，对该学科科学研究起到重要作用。</w:t>
      </w:r>
    </w:p>
    <w:p w:rsidR="00144677" w:rsidRPr="00C05330" w:rsidRDefault="008C53A8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C05330">
        <w:rPr>
          <w:rFonts w:ascii="仿宋" w:eastAsia="仿宋" w:hAnsi="仿宋" w:hint="eastAsia"/>
          <w:sz w:val="24"/>
        </w:rPr>
        <w:t>3）应具备的基本学术能力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ascii="仿宋" w:eastAsia="仿宋" w:hAnsi="仿宋"/>
          <w:sz w:val="24"/>
        </w:rPr>
      </w:pPr>
      <w:r w:rsidRPr="00C05330">
        <w:rPr>
          <w:rFonts w:ascii="仿宋" w:eastAsia="仿宋" w:hAnsi="仿宋" w:hint="eastAsia"/>
          <w:sz w:val="24"/>
        </w:rPr>
        <w:t>具有通过系统的课程学习、自学、专业实践、文献阅读等方式获取研究所需知识和方法的能力；具有了解学科发展方向和科学研究前沿的能力；具有从事科</w:t>
      </w:r>
      <w:r w:rsidRPr="00C05330">
        <w:rPr>
          <w:rFonts w:ascii="仿宋" w:eastAsia="仿宋" w:hAnsi="仿宋" w:hint="eastAsia"/>
          <w:sz w:val="24"/>
        </w:rPr>
        <w:lastRenderedPageBreak/>
        <w:t>学研究工作的能力，能从实践中发现问题、综合运用所学知识分析和解决问题；具有较强的实践能力，具备灵活应用所掌握实验技能、研究方法和仪器设备进行学术研究或技术开发的能力；具备良好的学术表达和学术交流能力。</w:t>
      </w:r>
    </w:p>
    <w:p w:rsidR="00144677" w:rsidRPr="00C05330" w:rsidRDefault="001B3F30" w:rsidP="001B3F30">
      <w:pPr>
        <w:widowControl/>
        <w:adjustRightInd w:val="0"/>
        <w:snapToGrid w:val="0"/>
        <w:spacing w:before="240"/>
        <w:jc w:val="left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3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 xml:space="preserve">. </w:t>
      </w:r>
      <w:r w:rsidR="008C53A8" w:rsidRPr="00C05330">
        <w:rPr>
          <w:rFonts w:ascii="仿宋" w:eastAsia="仿宋" w:hAnsi="仿宋" w:cs="Arial"/>
          <w:b/>
          <w:bCs/>
          <w:kern w:val="0"/>
          <w:sz w:val="28"/>
          <w:szCs w:val="28"/>
        </w:rPr>
        <w:t>研究方向</w:t>
      </w:r>
    </w:p>
    <w:p w:rsidR="00144677" w:rsidRPr="00C05330" w:rsidRDefault="008C53A8">
      <w:pPr>
        <w:spacing w:line="500" w:lineRule="exact"/>
        <w:outlineLvl w:val="0"/>
        <w:rPr>
          <w:rFonts w:eastAsia="仿宋"/>
          <w:sz w:val="24"/>
        </w:rPr>
      </w:pPr>
      <w:r w:rsidRPr="00C05330">
        <w:rPr>
          <w:rFonts w:eastAsia="仿宋"/>
          <w:sz w:val="24"/>
        </w:rPr>
        <w:t>1</w:t>
      </w:r>
      <w:r w:rsidRPr="00C05330">
        <w:rPr>
          <w:rFonts w:eastAsia="仿宋"/>
          <w:sz w:val="24"/>
        </w:rPr>
        <w:t>）化学电源与电化学表面技术</w:t>
      </w:r>
      <w:r w:rsidRPr="00C05330">
        <w:rPr>
          <w:rFonts w:eastAsia="仿宋"/>
          <w:sz w:val="24"/>
        </w:rPr>
        <w:t xml:space="preserve">         2</w:t>
      </w:r>
      <w:r w:rsidRPr="00C05330">
        <w:rPr>
          <w:rFonts w:eastAsia="仿宋"/>
          <w:sz w:val="24"/>
        </w:rPr>
        <w:t>）新能源材料与器件</w:t>
      </w:r>
      <w:r w:rsidRPr="00C05330">
        <w:rPr>
          <w:rFonts w:eastAsia="仿宋"/>
          <w:sz w:val="24"/>
        </w:rPr>
        <w:t xml:space="preserve">    </w:t>
      </w:r>
    </w:p>
    <w:p w:rsidR="00144677" w:rsidRPr="00C05330" w:rsidRDefault="008C53A8">
      <w:pPr>
        <w:spacing w:line="500" w:lineRule="exact"/>
        <w:outlineLvl w:val="0"/>
        <w:rPr>
          <w:rFonts w:eastAsia="仿宋"/>
          <w:sz w:val="24"/>
        </w:rPr>
      </w:pPr>
      <w:r w:rsidRPr="00C05330">
        <w:rPr>
          <w:rFonts w:eastAsia="仿宋"/>
          <w:sz w:val="24"/>
        </w:rPr>
        <w:t>3</w:t>
      </w:r>
      <w:r w:rsidRPr="00C05330">
        <w:rPr>
          <w:rFonts w:eastAsia="仿宋"/>
          <w:sz w:val="24"/>
        </w:rPr>
        <w:t>）复合高分子界面化学与工程</w:t>
      </w:r>
      <w:r w:rsidRPr="00C05330">
        <w:rPr>
          <w:rFonts w:eastAsia="仿宋"/>
          <w:sz w:val="24"/>
        </w:rPr>
        <w:t xml:space="preserve">         4</w:t>
      </w:r>
      <w:r w:rsidRPr="00C05330">
        <w:rPr>
          <w:rFonts w:eastAsia="仿宋"/>
          <w:sz w:val="24"/>
        </w:rPr>
        <w:t>）无机功能材料制备及应用</w:t>
      </w:r>
      <w:r w:rsidRPr="00C05330">
        <w:rPr>
          <w:rFonts w:eastAsia="仿宋"/>
          <w:sz w:val="24"/>
        </w:rPr>
        <w:t xml:space="preserve">     </w:t>
      </w:r>
    </w:p>
    <w:p w:rsidR="00144677" w:rsidRPr="00C05330" w:rsidRDefault="008C53A8">
      <w:pPr>
        <w:spacing w:line="500" w:lineRule="exact"/>
        <w:outlineLvl w:val="0"/>
        <w:rPr>
          <w:rFonts w:eastAsia="仿宋"/>
          <w:sz w:val="24"/>
        </w:rPr>
      </w:pPr>
      <w:r w:rsidRPr="00C05330">
        <w:rPr>
          <w:rFonts w:eastAsia="仿宋"/>
          <w:sz w:val="24"/>
        </w:rPr>
        <w:t>5</w:t>
      </w:r>
      <w:r w:rsidRPr="00C05330">
        <w:rPr>
          <w:rFonts w:eastAsia="仿宋"/>
          <w:sz w:val="24"/>
        </w:rPr>
        <w:t>）表界面化学与工程</w:t>
      </w:r>
      <w:r w:rsidRPr="00C05330">
        <w:rPr>
          <w:rFonts w:eastAsia="仿宋"/>
          <w:sz w:val="24"/>
        </w:rPr>
        <w:t xml:space="preserve">                 6</w:t>
      </w:r>
      <w:r w:rsidRPr="00C05330">
        <w:rPr>
          <w:rFonts w:eastAsia="仿宋"/>
          <w:sz w:val="24"/>
        </w:rPr>
        <w:t>）生物分子科学与工程</w:t>
      </w:r>
    </w:p>
    <w:p w:rsidR="00144677" w:rsidRPr="00C05330" w:rsidRDefault="001B3F30" w:rsidP="001B3F30">
      <w:pPr>
        <w:widowControl/>
        <w:adjustRightInd w:val="0"/>
        <w:snapToGrid w:val="0"/>
        <w:spacing w:before="240"/>
        <w:jc w:val="left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4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 xml:space="preserve">. </w:t>
      </w:r>
      <w:r w:rsidR="008C53A8" w:rsidRPr="00C05330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培养年限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eastAsia="仿宋"/>
          <w:sz w:val="24"/>
        </w:rPr>
      </w:pPr>
      <w:r w:rsidRPr="00C05330">
        <w:rPr>
          <w:rFonts w:eastAsia="仿宋"/>
          <w:sz w:val="24"/>
        </w:rPr>
        <w:t>硕博连读研究生基本培养年限为</w:t>
      </w:r>
      <w:r w:rsidRPr="00C05330">
        <w:rPr>
          <w:rFonts w:eastAsia="仿宋"/>
          <w:sz w:val="24"/>
        </w:rPr>
        <w:t>5</w:t>
      </w:r>
      <w:r w:rsidRPr="00C05330">
        <w:rPr>
          <w:rFonts w:eastAsia="仿宋"/>
          <w:sz w:val="24"/>
        </w:rPr>
        <w:t>年；硕士研究生基本培养年限为</w:t>
      </w:r>
      <w:r w:rsidRPr="00C05330">
        <w:rPr>
          <w:rFonts w:eastAsia="仿宋"/>
          <w:sz w:val="24"/>
        </w:rPr>
        <w:t>3</w:t>
      </w:r>
      <w:r w:rsidRPr="00C05330">
        <w:rPr>
          <w:rFonts w:eastAsia="仿宋"/>
          <w:sz w:val="24"/>
        </w:rPr>
        <w:t>年。</w:t>
      </w:r>
    </w:p>
    <w:p w:rsidR="00144677" w:rsidRPr="00C05330" w:rsidRDefault="001B3F30" w:rsidP="001B3F30">
      <w:pPr>
        <w:widowControl/>
        <w:adjustRightInd w:val="0"/>
        <w:snapToGrid w:val="0"/>
        <w:spacing w:before="240"/>
        <w:jc w:val="left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 xml:space="preserve">. </w:t>
      </w:r>
      <w:bookmarkStart w:id="2" w:name="_GoBack"/>
      <w:bookmarkEnd w:id="2"/>
      <w:r w:rsidR="008C53A8" w:rsidRPr="00C05330">
        <w:rPr>
          <w:rFonts w:ascii="仿宋" w:eastAsia="仿宋" w:hAnsi="仿宋" w:cs="Arial"/>
          <w:b/>
          <w:bCs/>
          <w:kern w:val="0"/>
          <w:sz w:val="28"/>
          <w:szCs w:val="28"/>
        </w:rPr>
        <w:t>课程</w:t>
      </w:r>
      <w:r w:rsidR="008C53A8" w:rsidRPr="00C05330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体系</w:t>
      </w:r>
      <w:r w:rsidR="008C53A8" w:rsidRPr="00C05330">
        <w:rPr>
          <w:rFonts w:ascii="仿宋" w:eastAsia="仿宋" w:hAnsi="仿宋" w:cs="Arial"/>
          <w:b/>
          <w:bCs/>
          <w:kern w:val="0"/>
          <w:sz w:val="28"/>
          <w:szCs w:val="28"/>
        </w:rPr>
        <w:t>设置</w:t>
      </w:r>
    </w:p>
    <w:tbl>
      <w:tblPr>
        <w:tblW w:w="9346" w:type="dxa"/>
        <w:jc w:val="center"/>
        <w:tblLayout w:type="fixed"/>
        <w:tblLook w:val="04A0"/>
      </w:tblPr>
      <w:tblGrid>
        <w:gridCol w:w="524"/>
        <w:gridCol w:w="570"/>
        <w:gridCol w:w="1112"/>
        <w:gridCol w:w="3566"/>
        <w:gridCol w:w="844"/>
        <w:gridCol w:w="708"/>
        <w:gridCol w:w="851"/>
        <w:gridCol w:w="1171"/>
      </w:tblGrid>
      <w:tr w:rsidR="00144677" w:rsidRPr="00C05330">
        <w:trPr>
          <w:trHeight w:val="540"/>
          <w:jc w:val="center"/>
        </w:trPr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677" w:rsidRPr="00C05330" w:rsidRDefault="008C53A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类别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4677" w:rsidRPr="00C05330" w:rsidRDefault="008C53A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课程编号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677" w:rsidRPr="00C05330" w:rsidRDefault="008C53A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课程名称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677" w:rsidRPr="00C05330" w:rsidRDefault="008C53A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学时</w:t>
            </w:r>
          </w:p>
          <w:p w:rsidR="00144677" w:rsidRPr="00C05330" w:rsidRDefault="008C53A8">
            <w:pPr>
              <w:widowControl/>
              <w:ind w:right="-126"/>
              <w:rPr>
                <w:rFonts w:ascii="仿宋" w:eastAsia="仿宋" w:hAnsi="仿宋"/>
                <w:kern w:val="0"/>
                <w:sz w:val="15"/>
                <w:szCs w:val="15"/>
              </w:rPr>
            </w:pPr>
            <w:r w:rsidRPr="00C05330">
              <w:rPr>
                <w:rFonts w:ascii="仿宋" w:eastAsia="仿宋" w:hAnsi="仿宋"/>
                <w:kern w:val="0"/>
                <w:sz w:val="15"/>
                <w:szCs w:val="15"/>
              </w:rPr>
              <w:t>课内/实验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677" w:rsidRPr="00C05330" w:rsidRDefault="008C53A8">
            <w:pPr>
              <w:widowControl/>
              <w:ind w:right="-107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学分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677" w:rsidRPr="00C05330" w:rsidRDefault="008C53A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开课</w:t>
            </w:r>
          </w:p>
          <w:p w:rsidR="00144677" w:rsidRPr="00C05330" w:rsidRDefault="008C53A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时间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4677" w:rsidRPr="00C05330" w:rsidRDefault="008C53A8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C05330">
              <w:rPr>
                <w:rFonts w:ascii="仿宋" w:eastAsia="仿宋" w:hAnsi="仿宋"/>
                <w:kern w:val="0"/>
                <w:szCs w:val="21"/>
              </w:rPr>
              <w:t>备注</w:t>
            </w:r>
          </w:p>
        </w:tc>
      </w:tr>
      <w:tr w:rsidR="00206B97" w:rsidRPr="00C05330">
        <w:trPr>
          <w:trHeight w:val="531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学</w:t>
            </w: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位</w:t>
            </w: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课</w:t>
            </w: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lastRenderedPageBreak/>
              <w:t>公共</w:t>
            </w:r>
          </w:p>
          <w:p w:rsidR="00206B97" w:rsidRPr="00C05330" w:rsidRDefault="00206B97">
            <w:pPr>
              <w:widowControl/>
              <w:ind w:right="-107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学位课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MX61001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新时代中国特色社会主义理论与实践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206B97" w:rsidRPr="00C05330">
        <w:trPr>
          <w:trHeight w:val="29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MX61002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pacing w:line="296" w:lineRule="exact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自然辩证法概论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206B97" w:rsidRPr="00C05330">
        <w:trPr>
          <w:trHeight w:val="461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MX71001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中国马克思主义与当代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  <w:r w:rsidRPr="00C05330">
              <w:rPr>
                <w:rFonts w:eastAsia="仿宋"/>
                <w:szCs w:val="21"/>
              </w:rPr>
              <w:t>/</w:t>
            </w: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博士学位必修</w:t>
            </w:r>
          </w:p>
        </w:tc>
      </w:tr>
      <w:tr w:rsidR="00206B97" w:rsidRPr="00C05330">
        <w:trPr>
          <w:trHeight w:val="485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FL62000</w:t>
            </w:r>
          </w:p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FL72000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pacing w:line="296" w:lineRule="exact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第一外国语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  <w:r w:rsidRPr="00C05330">
              <w:rPr>
                <w:rFonts w:eastAsia="仿宋"/>
                <w:szCs w:val="21"/>
              </w:rPr>
              <w:t>/</w:t>
            </w: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206B97" w:rsidRPr="00C05330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学</w:t>
            </w: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科</w:t>
            </w: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核</w:t>
            </w: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心</w:t>
            </w: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课</w:t>
            </w:r>
          </w:p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lastRenderedPageBreak/>
              <w:t>MA63002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数值分析</w:t>
            </w:r>
            <w:r w:rsidRPr="00C05330">
              <w:rPr>
                <w:rFonts w:eastAsia="仿宋"/>
                <w:kern w:val="0"/>
                <w:szCs w:val="21"/>
              </w:rPr>
              <w:t>B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206B97" w:rsidRPr="00C05330" w:rsidTr="00E85645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表面物理化学</w:t>
            </w:r>
            <w:r w:rsidRPr="00C05330">
              <w:rPr>
                <w:rFonts w:eastAsia="仿宋"/>
                <w:b/>
                <w:szCs w:val="21"/>
              </w:rPr>
              <w:t>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206B97" w:rsidRPr="00C05330" w:rsidTr="00E85645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ascii="微软雅黑" w:eastAsia="微软雅黑" w:hAnsi="微软雅黑" w:hint="eastAsia"/>
                <w:color w:val="747E8A"/>
                <w:sz w:val="17"/>
                <w:szCs w:val="17"/>
              </w:rPr>
              <w:t>CC64175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学术规范及论文写作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206B97" w:rsidRPr="00C05330" w:rsidTr="00E85645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CC64103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高等化工热力学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 w:rsidTr="00E85645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CC64104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化工系统工程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 w:rsidTr="00E85645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高等物理化学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 w:rsidTr="00E85645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CC64106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量子化学基础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CC74022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多孔材料制备与表征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CC74004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电化学科学与应用技术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11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CC74003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结构与物性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CC74002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理论和计算化学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CC74006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生物分析化学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CC74001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固体界面物理与化学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CC74007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先进功能材料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b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CC64107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现代电化学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142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spacing w:line="143" w:lineRule="atLeast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CC64108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高等高分子物理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142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CC64109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绿色化学工艺</w:t>
            </w:r>
            <w:r w:rsidRPr="00C05330">
              <w:rPr>
                <w:rFonts w:eastAsia="仿宋"/>
                <w:szCs w:val="21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142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催化原理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142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生化分析原理与技术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142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szCs w:val="21"/>
              </w:rPr>
              <w:t>高等</w:t>
            </w:r>
            <w:bookmarkStart w:id="3" w:name="OLE_LINK2"/>
            <w:r w:rsidRPr="00C05330">
              <w:rPr>
                <w:rFonts w:eastAsia="仿宋"/>
                <w:szCs w:val="21"/>
              </w:rPr>
              <w:t>分子生物学</w:t>
            </w:r>
            <w:bookmarkEnd w:id="3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先进化学电源原理与应用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现代电化学表面处理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新型高分子合成与制备方法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高分子界面工程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无机材料物理性能（</w:t>
            </w:r>
            <w:r w:rsidRPr="00C05330">
              <w:rPr>
                <w:rFonts w:eastAsia="仿宋"/>
                <w:szCs w:val="21"/>
              </w:rPr>
              <w:t>I</w:t>
            </w:r>
            <w:r w:rsidRPr="00C05330">
              <w:rPr>
                <w:rFonts w:eastAsia="仿宋"/>
                <w:szCs w:val="21"/>
              </w:rPr>
              <w:t>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CC64118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无机合成技术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固体化学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物质结构分析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高等无机化学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高等分析化学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E85645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高等有机化学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合成化学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CC64208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化学模拟理论与方法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波谱学原理与应用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有机合成化学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物理有机化学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功能材料制备工艺基础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8F41C1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高等高分子化学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高分子凝聚态物理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高分子研究方法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CC64219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tabs>
                <w:tab w:val="right" w:pos="2122"/>
              </w:tabs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统计热力学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E85645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 w:rsidTr="00E85645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CC64220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群论在化学中的应用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 w:rsidTr="00E85645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 w:rsidP="008C53A8">
            <w:pPr>
              <w:widowControl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CC6424</w:t>
            </w:r>
            <w:r w:rsidRPr="00C05330">
              <w:rPr>
                <w:rFonts w:eastAsia="仿宋" w:hint="eastAsia"/>
                <w:kern w:val="0"/>
                <w:szCs w:val="21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8C53A8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C05330">
              <w:rPr>
                <w:rFonts w:eastAsia="仿宋"/>
                <w:color w:val="000000" w:themeColor="text1"/>
                <w:szCs w:val="21"/>
              </w:rPr>
              <w:t>材料化学与物理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8C53A8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C05330">
              <w:rPr>
                <w:rFonts w:eastAsia="仿宋"/>
                <w:color w:val="000000" w:themeColor="text1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8C53A8">
            <w:pPr>
              <w:jc w:val="center"/>
              <w:rPr>
                <w:rFonts w:eastAsia="仿宋"/>
                <w:color w:val="000000" w:themeColor="text1"/>
                <w:szCs w:val="21"/>
              </w:rPr>
            </w:pPr>
            <w:r w:rsidRPr="00C05330">
              <w:rPr>
                <w:rFonts w:eastAsia="仿宋"/>
                <w:color w:val="000000" w:themeColor="text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8C53A8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59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 w:rsidP="00E85645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CC64301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E85645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高等生物化学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E85645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E85645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 w:rsidP="00E85645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3"/>
          <w:jc w:val="center"/>
        </w:trPr>
        <w:tc>
          <w:tcPr>
            <w:tcW w:w="1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选</w:t>
            </w: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修</w:t>
            </w: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lastRenderedPageBreak/>
              <w:t>课</w:t>
            </w: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推</w:t>
            </w: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荐</w:t>
            </w: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列</w:t>
            </w: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表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lastRenderedPageBreak/>
              <w:t>PE65001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体育健身课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必修</w:t>
            </w:r>
          </w:p>
        </w:tc>
      </w:tr>
      <w:tr w:rsidR="00206B97" w:rsidRPr="00C05330">
        <w:trPr>
          <w:trHeight w:val="83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C</w:t>
            </w:r>
            <w:r w:rsidRPr="00C05330">
              <w:rPr>
                <w:rFonts w:eastAsia="仿宋"/>
                <w:kern w:val="0"/>
                <w:szCs w:val="21"/>
              </w:rPr>
              <w:t>C6417</w:t>
            </w:r>
            <w:r w:rsidRPr="00C05330">
              <w:rPr>
                <w:rFonts w:eastAsia="仿宋" w:hint="eastAsia"/>
                <w:kern w:val="0"/>
                <w:szCs w:val="21"/>
              </w:rPr>
              <w:t>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化工学科发展前沿专题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  <w:r w:rsidRPr="00C05330">
              <w:rPr>
                <w:rFonts w:eastAsia="仿宋"/>
                <w:kern w:val="0"/>
                <w:szCs w:val="21"/>
              </w:rPr>
              <w:t>选</w:t>
            </w:r>
            <w:r w:rsidRPr="00C05330">
              <w:rPr>
                <w:rFonts w:eastAsia="仿宋"/>
                <w:kern w:val="0"/>
                <w:szCs w:val="21"/>
              </w:rPr>
              <w:t>1</w:t>
            </w:r>
          </w:p>
        </w:tc>
      </w:tr>
      <w:tr w:rsidR="00206B97" w:rsidRPr="00C05330">
        <w:trPr>
          <w:trHeight w:val="83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 w:hint="eastAsia"/>
                <w:szCs w:val="21"/>
              </w:rPr>
              <w:t>CC64248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化学学科发展前沿专题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3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CC74010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电化学反应工程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303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CC74011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电沉积与化学沉积功能材料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CC74019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稀土材料工程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CC74020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绿色催化化学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CC64129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现代电化学测量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CC64130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电化学软件应用与模拟计算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26/6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材料衍射及波谱分析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CC64132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纳米高分子材料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膜科学与技术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CC64134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先进聚合物基复合材料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表面分析原理与方法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color w:val="FF0000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CC64136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 w:rsidP="00E930D4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反应性与功能高分子材料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CC64137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功能陶瓷材料导论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CC64140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生物医用材料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CC64172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扫描探针显微技术与纳米加工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CC64221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材料热力学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CC64225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纳米材料与纳米结构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CC64226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分子设计原理与应用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CC64229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新型无机材料概论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jc w:val="left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CC64230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医用高分子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CC64231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高分子光化学技术与应用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CC64233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光电功能高分子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CC64234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电子结构理论与计算应用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CC64235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第一性原理方法及应用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1D2249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 w:hint="eastAsia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CC64236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分子动力学模拟原理和应用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CC64243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催化科学与工程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CC6424</w:t>
            </w:r>
            <w:r w:rsidRPr="00C05330">
              <w:rPr>
                <w:rFonts w:eastAsia="仿宋" w:hint="eastAsia"/>
                <w:kern w:val="0"/>
                <w:szCs w:val="21"/>
              </w:rPr>
              <w:t>5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C05330">
              <w:rPr>
                <w:rFonts w:eastAsia="仿宋"/>
                <w:color w:val="000000"/>
                <w:szCs w:val="21"/>
              </w:rPr>
              <w:t>功能与智能材料</w:t>
            </w:r>
            <w:r w:rsidRPr="00C05330">
              <w:rPr>
                <w:rFonts w:eastAsia="仿宋"/>
                <w:color w:val="000000"/>
                <w:szCs w:val="21"/>
              </w:rPr>
              <w:t>——</w:t>
            </w:r>
            <w:r w:rsidRPr="00C05330">
              <w:rPr>
                <w:rFonts w:eastAsia="仿宋"/>
                <w:color w:val="000000"/>
                <w:szCs w:val="21"/>
              </w:rPr>
              <w:t>结构演化与结构分析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color w:val="FF000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CC6424</w:t>
            </w:r>
            <w:r w:rsidRPr="00C05330">
              <w:rPr>
                <w:rFonts w:eastAsia="仿宋" w:hint="eastAsia"/>
                <w:kern w:val="0"/>
                <w:szCs w:val="21"/>
              </w:rPr>
              <w:t>6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color w:val="000000"/>
                <w:szCs w:val="21"/>
              </w:rPr>
            </w:pPr>
            <w:r w:rsidRPr="00C05330">
              <w:rPr>
                <w:rFonts w:eastAsia="仿宋"/>
                <w:color w:val="000000"/>
                <w:szCs w:val="21"/>
              </w:rPr>
              <w:t>人工智能化学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CC6424</w:t>
            </w:r>
            <w:r w:rsidRPr="00C05330">
              <w:rPr>
                <w:rFonts w:eastAsia="仿宋" w:hint="eastAsia"/>
                <w:kern w:val="0"/>
                <w:szCs w:val="21"/>
              </w:rPr>
              <w:t>7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超分子化学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E85645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 w:hint="eastAsia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 w:hint="eastAsia"/>
                <w:kern w:val="0"/>
                <w:szCs w:val="21"/>
              </w:rPr>
              <w:t>CC68301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实验动物学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C107B" w:rsidP="00E85645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 w:hint="eastAsia"/>
                <w:color w:val="000000" w:themeColor="text1"/>
                <w:kern w:val="0"/>
                <w:szCs w:val="21"/>
              </w:rPr>
              <w:t>16/16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 w:rsidP="00E85645">
            <w:pPr>
              <w:widowControl/>
              <w:jc w:val="center"/>
              <w:rPr>
                <w:rFonts w:eastAsia="仿宋"/>
                <w:color w:val="000000" w:themeColor="text1"/>
                <w:kern w:val="0"/>
                <w:szCs w:val="21"/>
              </w:rPr>
            </w:pPr>
            <w:r w:rsidRPr="00C05330">
              <w:rPr>
                <w:rFonts w:eastAsia="仿宋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 w:rsidP="00E85645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CC68110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物质结构及组成分析实验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/48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rPr>
                <w:rFonts w:eastAsia="仿宋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CC6811</w:t>
            </w:r>
            <w:r w:rsidRPr="00C05330">
              <w:rPr>
                <w:rFonts w:eastAsia="仿宋" w:hint="eastAsia"/>
                <w:kern w:val="0"/>
                <w:szCs w:val="21"/>
              </w:rPr>
              <w:t>2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研究生综合实验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/48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89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CC68102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化学电源制造工程（校内实践基地）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/48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1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ind w:right="-107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  <w:p w:rsidR="00206B97" w:rsidRPr="00C05330" w:rsidRDefault="00206B97">
            <w:pPr>
              <w:widowControl/>
              <w:spacing w:before="120"/>
              <w:ind w:right="-107"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环节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snapToGrid w:val="0"/>
              <w:spacing w:line="30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1.5</w:t>
            </w:r>
            <w:r w:rsidRPr="00C05330">
              <w:rPr>
                <w:rFonts w:eastAsia="仿宋"/>
                <w:szCs w:val="21"/>
              </w:rPr>
              <w:t>学年综合测评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必修</w:t>
            </w:r>
          </w:p>
        </w:tc>
      </w:tr>
      <w:tr w:rsidR="00206B97" w:rsidRPr="00C05330">
        <w:trPr>
          <w:trHeight w:val="283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GS68001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社会实践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春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10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CC68101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经典文献阅读与学术交流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spacing w:before="120"/>
              <w:ind w:right="-107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CC69101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学位论文开题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春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283"/>
          <w:jc w:val="center"/>
        </w:trPr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CC69102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学位论文中期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snapToGrid w:val="0"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szCs w:val="21"/>
              </w:rPr>
              <w:t>秋</w:t>
            </w: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Cs w:val="21"/>
              </w:rPr>
            </w:pPr>
          </w:p>
        </w:tc>
      </w:tr>
      <w:tr w:rsidR="00206B97" w:rsidRPr="00C05330">
        <w:trPr>
          <w:trHeight w:val="631"/>
          <w:jc w:val="center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补修课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widowControl/>
              <w:jc w:val="center"/>
              <w:rPr>
                <w:rFonts w:eastAsia="仿宋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CC94101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电极过程动力学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97" w:rsidRPr="00C05330" w:rsidRDefault="00206B97">
            <w:pPr>
              <w:jc w:val="center"/>
              <w:rPr>
                <w:rFonts w:eastAsia="仿宋"/>
                <w:kern w:val="0"/>
                <w:szCs w:val="21"/>
              </w:rPr>
            </w:pPr>
            <w:r w:rsidRPr="00C05330">
              <w:rPr>
                <w:rFonts w:eastAsia="仿宋"/>
                <w:kern w:val="0"/>
                <w:szCs w:val="21"/>
              </w:rPr>
              <w:t>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97" w:rsidRPr="00C05330" w:rsidRDefault="00206B97">
            <w:pPr>
              <w:widowControl/>
              <w:rPr>
                <w:rFonts w:eastAsia="仿宋"/>
                <w:kern w:val="0"/>
                <w:sz w:val="15"/>
                <w:szCs w:val="15"/>
              </w:rPr>
            </w:pPr>
            <w:r w:rsidRPr="00C05330">
              <w:rPr>
                <w:rFonts w:eastAsia="仿宋"/>
                <w:kern w:val="0"/>
                <w:sz w:val="15"/>
                <w:szCs w:val="15"/>
              </w:rPr>
              <w:t>电化学方向但本科非电化学专业学生必修</w:t>
            </w:r>
          </w:p>
        </w:tc>
      </w:tr>
    </w:tbl>
    <w:p w:rsidR="00144677" w:rsidRPr="00C05330" w:rsidRDefault="008C53A8">
      <w:pPr>
        <w:spacing w:line="500" w:lineRule="exact"/>
        <w:ind w:firstLineChars="200" w:firstLine="482"/>
        <w:outlineLvl w:val="0"/>
        <w:rPr>
          <w:rFonts w:ascii="仿宋" w:eastAsia="仿宋" w:hAnsi="仿宋"/>
          <w:b/>
          <w:sz w:val="24"/>
        </w:rPr>
      </w:pPr>
      <w:r w:rsidRPr="00C05330">
        <w:rPr>
          <w:rFonts w:ascii="仿宋" w:eastAsia="仿宋" w:hAnsi="仿宋" w:hint="eastAsia"/>
          <w:b/>
          <w:sz w:val="24"/>
        </w:rPr>
        <w:t>说明：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eastAsia="仿宋"/>
          <w:sz w:val="24"/>
        </w:rPr>
      </w:pPr>
      <w:r w:rsidRPr="00C05330">
        <w:rPr>
          <w:rFonts w:eastAsia="仿宋"/>
          <w:sz w:val="24"/>
        </w:rPr>
        <w:t xml:space="preserve">1. </w:t>
      </w:r>
      <w:r w:rsidRPr="00C05330">
        <w:rPr>
          <w:rFonts w:eastAsia="仿宋"/>
          <w:sz w:val="24"/>
        </w:rPr>
        <w:t>申请博士学位的研究生总学分要求不少于</w:t>
      </w:r>
      <w:r w:rsidRPr="00C05330">
        <w:rPr>
          <w:rFonts w:eastAsia="仿宋"/>
          <w:sz w:val="24"/>
        </w:rPr>
        <w:t>32</w:t>
      </w:r>
      <w:r w:rsidRPr="00C05330">
        <w:rPr>
          <w:rFonts w:eastAsia="仿宋"/>
          <w:sz w:val="24"/>
        </w:rPr>
        <w:t>学分，申请硕士学位的研究生总学分要求不少于</w:t>
      </w:r>
      <w:r w:rsidRPr="00C05330">
        <w:rPr>
          <w:rFonts w:eastAsia="仿宋"/>
          <w:sz w:val="24"/>
        </w:rPr>
        <w:t>30</w:t>
      </w:r>
      <w:r w:rsidRPr="00C05330">
        <w:rPr>
          <w:rFonts w:eastAsia="仿宋"/>
          <w:sz w:val="24"/>
        </w:rPr>
        <w:t>学分，其中公共学位课</w:t>
      </w:r>
      <w:r w:rsidRPr="00C05330">
        <w:rPr>
          <w:rFonts w:eastAsia="仿宋"/>
          <w:sz w:val="24"/>
        </w:rPr>
        <w:t>5</w:t>
      </w:r>
      <w:r w:rsidRPr="00C05330">
        <w:rPr>
          <w:rFonts w:eastAsia="仿宋"/>
          <w:sz w:val="24"/>
        </w:rPr>
        <w:t>～</w:t>
      </w:r>
      <w:r w:rsidRPr="00C05330">
        <w:rPr>
          <w:rFonts w:eastAsia="仿宋"/>
          <w:sz w:val="24"/>
        </w:rPr>
        <w:t>7</w:t>
      </w:r>
      <w:r w:rsidRPr="00C05330">
        <w:rPr>
          <w:rFonts w:eastAsia="仿宋"/>
          <w:sz w:val="24"/>
        </w:rPr>
        <w:t>学分，学科核心课不少于</w:t>
      </w:r>
      <w:r w:rsidRPr="00C05330">
        <w:rPr>
          <w:rFonts w:eastAsia="仿宋"/>
          <w:sz w:val="24"/>
        </w:rPr>
        <w:t>12</w:t>
      </w:r>
      <w:r w:rsidRPr="00C05330">
        <w:rPr>
          <w:rFonts w:eastAsia="仿宋"/>
          <w:sz w:val="24"/>
        </w:rPr>
        <w:t>学分，选修课不少于</w:t>
      </w:r>
      <w:r w:rsidRPr="00C05330">
        <w:rPr>
          <w:rFonts w:eastAsia="仿宋"/>
          <w:sz w:val="24"/>
        </w:rPr>
        <w:t>8</w:t>
      </w:r>
      <w:r w:rsidRPr="00C05330">
        <w:rPr>
          <w:rFonts w:eastAsia="仿宋"/>
          <w:sz w:val="24"/>
        </w:rPr>
        <w:t>学分，必修环节</w:t>
      </w:r>
      <w:r w:rsidRPr="00C05330">
        <w:rPr>
          <w:rFonts w:eastAsia="仿宋"/>
          <w:sz w:val="24"/>
        </w:rPr>
        <w:t>5</w:t>
      </w:r>
      <w:r w:rsidRPr="00C05330">
        <w:rPr>
          <w:rFonts w:eastAsia="仿宋"/>
          <w:sz w:val="24"/>
        </w:rPr>
        <w:t>学分。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eastAsia="仿宋"/>
          <w:sz w:val="24"/>
        </w:rPr>
      </w:pPr>
      <w:r w:rsidRPr="00C05330">
        <w:rPr>
          <w:rFonts w:eastAsia="仿宋"/>
          <w:sz w:val="24"/>
        </w:rPr>
        <w:t xml:space="preserve">2. </w:t>
      </w:r>
      <w:r w:rsidRPr="00C05330">
        <w:rPr>
          <w:rFonts w:eastAsia="仿宋"/>
          <w:sz w:val="24"/>
        </w:rPr>
        <w:t>学位课程为考试课程，选修课程可为考查课程（可选本方案所列课程以外，任意外院系的课程）。学术学位研究生课程学习一般应在入学后</w:t>
      </w:r>
      <w:r w:rsidRPr="00C05330">
        <w:rPr>
          <w:rFonts w:eastAsia="仿宋"/>
          <w:sz w:val="24"/>
        </w:rPr>
        <w:t>0.75</w:t>
      </w:r>
      <w:r w:rsidRPr="00C05330">
        <w:rPr>
          <w:rFonts w:eastAsia="仿宋"/>
          <w:sz w:val="24"/>
        </w:rPr>
        <w:t>学年内完成，其中博士政治课一般应在取得博士学籍后学习。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eastAsia="仿宋"/>
          <w:sz w:val="24"/>
        </w:rPr>
      </w:pPr>
      <w:r w:rsidRPr="00C05330">
        <w:rPr>
          <w:rFonts w:eastAsia="仿宋"/>
          <w:sz w:val="24"/>
        </w:rPr>
        <w:lastRenderedPageBreak/>
        <w:t>1</w:t>
      </w:r>
      <w:r w:rsidRPr="00C05330">
        <w:rPr>
          <w:rFonts w:eastAsia="仿宋"/>
          <w:sz w:val="24"/>
        </w:rPr>
        <w:t>）课程编号第</w:t>
      </w:r>
      <w:r w:rsidRPr="00C05330">
        <w:rPr>
          <w:rFonts w:eastAsia="仿宋"/>
          <w:sz w:val="24"/>
        </w:rPr>
        <w:t>3</w:t>
      </w:r>
      <w:r w:rsidRPr="00C05330">
        <w:rPr>
          <w:rFonts w:eastAsia="仿宋"/>
          <w:sz w:val="24"/>
        </w:rPr>
        <w:t>位为</w:t>
      </w:r>
      <w:r w:rsidRPr="00C05330">
        <w:rPr>
          <w:rFonts w:eastAsia="仿宋"/>
          <w:sz w:val="24"/>
        </w:rPr>
        <w:t>7</w:t>
      </w:r>
      <w:r w:rsidRPr="00C05330">
        <w:rPr>
          <w:rFonts w:eastAsia="仿宋"/>
          <w:sz w:val="24"/>
        </w:rPr>
        <w:t>的课程，表示博士生课程，如</w:t>
      </w:r>
      <w:r w:rsidRPr="00C05330">
        <w:rPr>
          <w:rFonts w:eastAsia="仿宋"/>
          <w:sz w:val="24"/>
        </w:rPr>
        <w:t>CC74001</w:t>
      </w:r>
      <w:r w:rsidRPr="00C05330">
        <w:rPr>
          <w:rFonts w:eastAsia="仿宋"/>
          <w:sz w:val="24"/>
        </w:rPr>
        <w:t>；课程编号第</w:t>
      </w:r>
      <w:r w:rsidRPr="00C05330">
        <w:rPr>
          <w:rFonts w:eastAsia="仿宋"/>
          <w:sz w:val="24"/>
        </w:rPr>
        <w:t>3</w:t>
      </w:r>
      <w:r w:rsidRPr="00C05330">
        <w:rPr>
          <w:rFonts w:eastAsia="仿宋"/>
          <w:sz w:val="24"/>
        </w:rPr>
        <w:t>位为</w:t>
      </w:r>
      <w:r w:rsidRPr="00C05330">
        <w:rPr>
          <w:rFonts w:eastAsia="仿宋"/>
          <w:sz w:val="24"/>
        </w:rPr>
        <w:t>6</w:t>
      </w:r>
      <w:r w:rsidRPr="00C05330">
        <w:rPr>
          <w:rFonts w:eastAsia="仿宋"/>
          <w:sz w:val="24"/>
        </w:rPr>
        <w:t>的课程，表示硕士生课程，如</w:t>
      </w:r>
      <w:r w:rsidRPr="00C05330">
        <w:rPr>
          <w:rFonts w:eastAsia="仿宋"/>
          <w:sz w:val="24"/>
        </w:rPr>
        <w:t>CC64001</w:t>
      </w:r>
      <w:r w:rsidRPr="00C05330">
        <w:rPr>
          <w:rFonts w:eastAsia="仿宋"/>
          <w:sz w:val="24"/>
        </w:rPr>
        <w:t>。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eastAsia="仿宋"/>
          <w:color w:val="000000"/>
          <w:sz w:val="24"/>
        </w:rPr>
      </w:pPr>
      <w:r w:rsidRPr="00C05330">
        <w:rPr>
          <w:rFonts w:eastAsia="仿宋"/>
          <w:sz w:val="24"/>
        </w:rPr>
        <w:t>2</w:t>
      </w:r>
      <w:r w:rsidRPr="00C05330">
        <w:rPr>
          <w:rFonts w:eastAsia="仿宋"/>
          <w:sz w:val="24"/>
        </w:rPr>
        <w:t>）</w:t>
      </w:r>
      <w:r w:rsidRPr="00C05330">
        <w:rPr>
          <w:rFonts w:eastAsia="仿宋"/>
          <w:kern w:val="0"/>
          <w:sz w:val="24"/>
        </w:rPr>
        <w:t>学术规范及论文写作、</w:t>
      </w:r>
      <w:r w:rsidRPr="00C05330">
        <w:rPr>
          <w:rFonts w:eastAsia="仿宋"/>
          <w:sz w:val="24"/>
        </w:rPr>
        <w:t>学位论文开题和学位论文中期的课程编号不区分硕士或博士。</w:t>
      </w:r>
      <w:r w:rsidRPr="00C05330">
        <w:rPr>
          <w:rFonts w:eastAsia="仿宋"/>
          <w:color w:val="000000"/>
          <w:sz w:val="24"/>
        </w:rPr>
        <w:t>申请博士学位的研究生须完成博士学位论文开题及中期检</w:t>
      </w:r>
      <w:r w:rsidRPr="00C05330">
        <w:rPr>
          <w:rFonts w:eastAsia="仿宋"/>
          <w:sz w:val="24"/>
        </w:rPr>
        <w:t>查。</w:t>
      </w:r>
      <w:r w:rsidRPr="00C05330">
        <w:rPr>
          <w:rFonts w:eastAsia="仿宋"/>
          <w:color w:val="000000"/>
          <w:sz w:val="24"/>
        </w:rPr>
        <w:t>申请硕士学位的研究生须完成硕士学位论文开题及中期检查。</w:t>
      </w:r>
    </w:p>
    <w:p w:rsidR="00144677" w:rsidRPr="00C05330" w:rsidRDefault="008C53A8">
      <w:pPr>
        <w:spacing w:line="500" w:lineRule="exact"/>
        <w:ind w:firstLineChars="200" w:firstLine="480"/>
        <w:outlineLvl w:val="0"/>
        <w:rPr>
          <w:rFonts w:eastAsia="仿宋"/>
          <w:color w:val="000000"/>
          <w:sz w:val="24"/>
        </w:rPr>
      </w:pPr>
      <w:r w:rsidRPr="00C05330">
        <w:rPr>
          <w:rFonts w:eastAsia="仿宋"/>
          <w:color w:val="000000"/>
          <w:sz w:val="24"/>
        </w:rPr>
        <w:t>3</w:t>
      </w:r>
      <w:r w:rsidRPr="00C05330">
        <w:rPr>
          <w:rFonts w:eastAsia="仿宋"/>
          <w:color w:val="000000"/>
          <w:sz w:val="24"/>
        </w:rPr>
        <w:t>）申请博士学位的研究生应修读不少于</w:t>
      </w:r>
      <w:r w:rsidRPr="00C05330">
        <w:rPr>
          <w:rFonts w:eastAsia="仿宋"/>
          <w:color w:val="000000"/>
          <w:sz w:val="24"/>
        </w:rPr>
        <w:t>4</w:t>
      </w:r>
      <w:r w:rsidRPr="00C05330">
        <w:rPr>
          <w:rFonts w:eastAsia="仿宋"/>
          <w:color w:val="000000"/>
          <w:sz w:val="24"/>
        </w:rPr>
        <w:t>学分的博士层次学科核心课。</w:t>
      </w:r>
    </w:p>
    <w:p w:rsidR="00144677" w:rsidRPr="00C05330" w:rsidRDefault="008C53A8">
      <w:pPr>
        <w:snapToGrid w:val="0"/>
        <w:spacing w:line="500" w:lineRule="exact"/>
        <w:ind w:firstLineChars="200" w:firstLine="480"/>
        <w:rPr>
          <w:rFonts w:eastAsia="仿宋"/>
          <w:sz w:val="24"/>
        </w:rPr>
      </w:pPr>
      <w:r w:rsidRPr="00C05330">
        <w:rPr>
          <w:rFonts w:eastAsia="仿宋"/>
          <w:sz w:val="24"/>
        </w:rPr>
        <w:t xml:space="preserve">3. </w:t>
      </w:r>
      <w:r w:rsidRPr="00C05330">
        <w:rPr>
          <w:rFonts w:eastAsia="仿宋"/>
          <w:sz w:val="24"/>
        </w:rPr>
        <w:t>对</w:t>
      </w:r>
      <w:r w:rsidRPr="00C05330">
        <w:rPr>
          <w:rFonts w:eastAsia="仿宋"/>
          <w:sz w:val="24"/>
        </w:rPr>
        <w:t>1.5</w:t>
      </w:r>
      <w:r w:rsidRPr="00C05330">
        <w:rPr>
          <w:rFonts w:eastAsia="仿宋"/>
          <w:sz w:val="24"/>
        </w:rPr>
        <w:t>学年综合测评的要求：综合考核学生的课程成绩、导师评价、学术能力和德育情况，综合测评成绩分为优秀、良好、中等、合格和不合格。考核成绩合格及以上可获得</w:t>
      </w:r>
      <w:r w:rsidRPr="00C05330">
        <w:rPr>
          <w:rFonts w:eastAsia="仿宋"/>
          <w:sz w:val="24"/>
        </w:rPr>
        <w:t>1</w:t>
      </w:r>
      <w:r w:rsidRPr="00C05330">
        <w:rPr>
          <w:rFonts w:eastAsia="仿宋"/>
          <w:sz w:val="24"/>
        </w:rPr>
        <w:t>学分，不合格需进行二次测评。考核成绩为优秀、良好的可申请攻读博士学位，考核成绩为优秀的可申请硕士提前毕业（在第四学期末申请答辩）。</w:t>
      </w:r>
    </w:p>
    <w:p w:rsidR="00144677" w:rsidRPr="00C05330" w:rsidRDefault="008C53A8">
      <w:pPr>
        <w:snapToGrid w:val="0"/>
        <w:spacing w:line="500" w:lineRule="exact"/>
        <w:ind w:firstLineChars="200" w:firstLine="480"/>
        <w:rPr>
          <w:rFonts w:eastAsia="仿宋"/>
          <w:color w:val="C00000"/>
          <w:sz w:val="24"/>
        </w:rPr>
      </w:pPr>
      <w:r w:rsidRPr="00C05330">
        <w:rPr>
          <w:rFonts w:eastAsia="仿宋"/>
          <w:sz w:val="24"/>
        </w:rPr>
        <w:t xml:space="preserve">4. </w:t>
      </w:r>
      <w:r w:rsidRPr="00C05330">
        <w:rPr>
          <w:rFonts w:eastAsia="仿宋"/>
          <w:sz w:val="24"/>
        </w:rPr>
        <w:t>对社会实践的要求：具体实践方式参见《研究生社会实践学分实施意见》。</w:t>
      </w:r>
    </w:p>
    <w:p w:rsidR="00144677" w:rsidRPr="00C05330" w:rsidRDefault="008C53A8">
      <w:pPr>
        <w:snapToGrid w:val="0"/>
        <w:spacing w:line="500" w:lineRule="exact"/>
        <w:ind w:firstLineChars="200" w:firstLine="480"/>
        <w:rPr>
          <w:rFonts w:eastAsia="仿宋"/>
          <w:color w:val="000000"/>
          <w:sz w:val="24"/>
        </w:rPr>
      </w:pPr>
      <w:r w:rsidRPr="00C05330">
        <w:rPr>
          <w:rFonts w:eastAsia="仿宋"/>
          <w:sz w:val="24"/>
        </w:rPr>
        <w:t xml:space="preserve">5. </w:t>
      </w:r>
      <w:r w:rsidRPr="00C05330">
        <w:rPr>
          <w:rFonts w:eastAsia="仿宋"/>
          <w:sz w:val="24"/>
        </w:rPr>
        <w:t>对经典文献阅读的要求：</w:t>
      </w:r>
      <w:r w:rsidRPr="00C05330">
        <w:rPr>
          <w:rFonts w:eastAsia="仿宋"/>
          <w:color w:val="000000"/>
          <w:sz w:val="24"/>
        </w:rPr>
        <w:t>学生至少阅读</w:t>
      </w:r>
      <w:r w:rsidRPr="00C05330">
        <w:rPr>
          <w:rFonts w:eastAsia="仿宋"/>
          <w:color w:val="000000"/>
          <w:sz w:val="24"/>
        </w:rPr>
        <w:t>30</w:t>
      </w:r>
      <w:r w:rsidRPr="00C05330">
        <w:rPr>
          <w:rFonts w:eastAsia="仿宋"/>
          <w:color w:val="000000"/>
          <w:sz w:val="24"/>
        </w:rPr>
        <w:t>篇本学科领域近五年的优秀文献，并在二级学科或课题组做公开学术报告。经典文献目录见文后，目录中的文献阅读至少</w:t>
      </w:r>
      <w:r w:rsidRPr="00C05330">
        <w:rPr>
          <w:rFonts w:eastAsia="仿宋"/>
          <w:color w:val="000000"/>
          <w:sz w:val="24"/>
        </w:rPr>
        <w:t>20</w:t>
      </w:r>
      <w:r w:rsidRPr="00C05330">
        <w:rPr>
          <w:rFonts w:eastAsia="仿宋"/>
          <w:color w:val="000000"/>
          <w:sz w:val="24"/>
        </w:rPr>
        <w:t>篇。学术报告需在开题前完成，并经专家组评议考核通过后获得</w:t>
      </w:r>
      <w:r w:rsidRPr="00C05330">
        <w:rPr>
          <w:rFonts w:eastAsia="仿宋"/>
          <w:color w:val="000000"/>
          <w:sz w:val="24"/>
        </w:rPr>
        <w:t>1</w:t>
      </w:r>
      <w:r w:rsidRPr="00C05330">
        <w:rPr>
          <w:rFonts w:eastAsia="仿宋"/>
          <w:color w:val="000000"/>
          <w:sz w:val="24"/>
        </w:rPr>
        <w:t>学分。</w:t>
      </w:r>
    </w:p>
    <w:p w:rsidR="00144677" w:rsidRPr="00C05330" w:rsidRDefault="008C53A8">
      <w:pPr>
        <w:snapToGrid w:val="0"/>
        <w:spacing w:line="500" w:lineRule="exact"/>
        <w:ind w:firstLineChars="200" w:firstLine="480"/>
        <w:rPr>
          <w:rFonts w:eastAsia="仿宋"/>
          <w:sz w:val="24"/>
        </w:rPr>
      </w:pPr>
      <w:r w:rsidRPr="00C05330">
        <w:rPr>
          <w:rFonts w:eastAsia="仿宋"/>
          <w:sz w:val="24"/>
        </w:rPr>
        <w:t xml:space="preserve">6. </w:t>
      </w:r>
      <w:r w:rsidRPr="00C05330">
        <w:rPr>
          <w:rFonts w:eastAsia="仿宋"/>
          <w:sz w:val="24"/>
        </w:rPr>
        <w:t>对学术交流的要求：两年内至少参加二级学科或课题组指定的学术交流</w:t>
      </w:r>
      <w:r w:rsidRPr="00C05330">
        <w:rPr>
          <w:rFonts w:eastAsia="仿宋"/>
          <w:sz w:val="24"/>
        </w:rPr>
        <w:t>5</w:t>
      </w:r>
      <w:r w:rsidRPr="00C05330">
        <w:rPr>
          <w:rFonts w:eastAsia="仿宋"/>
          <w:sz w:val="24"/>
        </w:rPr>
        <w:t>次（包括听专家讲学，做学术报告等）或参加学术会议（线上、线下均可）、省部级及以上创新创业竞赛</w:t>
      </w:r>
      <w:r w:rsidRPr="00C05330">
        <w:rPr>
          <w:rFonts w:eastAsia="仿宋"/>
          <w:sz w:val="24"/>
        </w:rPr>
        <w:t>1</w:t>
      </w:r>
      <w:r w:rsidRPr="00C05330">
        <w:rPr>
          <w:rFonts w:eastAsia="仿宋"/>
          <w:sz w:val="24"/>
        </w:rPr>
        <w:t>次（前三名），并提供相关证明材料后获得</w:t>
      </w:r>
      <w:r w:rsidRPr="00C05330">
        <w:rPr>
          <w:rFonts w:eastAsia="仿宋"/>
          <w:sz w:val="24"/>
        </w:rPr>
        <w:t>1</w:t>
      </w:r>
      <w:r w:rsidRPr="00C05330">
        <w:rPr>
          <w:rFonts w:eastAsia="仿宋"/>
          <w:sz w:val="24"/>
        </w:rPr>
        <w:t>学分。</w:t>
      </w:r>
    </w:p>
    <w:p w:rsidR="001B3F30" w:rsidRPr="00A557E3" w:rsidRDefault="001B3F30" w:rsidP="001B3F30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学院党委意见：           </w:t>
      </w:r>
      <w:r w:rsidRPr="00A557E3">
        <w:rPr>
          <w:rFonts w:ascii="华文仿宋" w:eastAsia="华文仿宋" w:hAnsi="华文仿宋"/>
          <w:b/>
          <w:bCs/>
          <w:sz w:val="28"/>
          <w:szCs w:val="28"/>
        </w:rPr>
        <w:t xml:space="preserve">     </w:t>
      </w: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    学位评定分委员会意见：</w:t>
      </w:r>
    </w:p>
    <w:p w:rsidR="001B3F30" w:rsidRPr="00A557E3" w:rsidRDefault="001B3F30" w:rsidP="001B3F30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签字：                            签字：              </w:t>
      </w:r>
    </w:p>
    <w:p w:rsidR="001B3F30" w:rsidRPr="00A557E3" w:rsidRDefault="001B3F30" w:rsidP="001B3F30">
      <w:pPr>
        <w:snapToGrid w:val="0"/>
        <w:spacing w:line="300" w:lineRule="auto"/>
        <w:jc w:val="left"/>
        <w:rPr>
          <w:rFonts w:ascii="华文仿宋" w:eastAsia="华文仿宋" w:hAnsi="华文仿宋"/>
          <w:b/>
          <w:bCs/>
          <w:sz w:val="24"/>
        </w:rPr>
      </w:pPr>
    </w:p>
    <w:p w:rsidR="001B3F30" w:rsidRPr="00A557E3" w:rsidRDefault="001B3F30" w:rsidP="001B3F30">
      <w:pPr>
        <w:snapToGrid w:val="0"/>
        <w:spacing w:line="300" w:lineRule="auto"/>
        <w:jc w:val="left"/>
        <w:rPr>
          <w:rFonts w:ascii="华文仿宋" w:eastAsia="华文仿宋" w:hAnsi="华文仿宋"/>
          <w:b/>
          <w:bCs/>
          <w:sz w:val="24"/>
        </w:rPr>
      </w:pPr>
    </w:p>
    <w:p w:rsidR="001B3F30" w:rsidRPr="00A557E3" w:rsidRDefault="001B3F30" w:rsidP="001B3F30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学院意见：   </w:t>
      </w:r>
    </w:p>
    <w:p w:rsidR="001B3F30" w:rsidRPr="00A557E3" w:rsidRDefault="001B3F30" w:rsidP="001B3F30">
      <w:pPr>
        <w:spacing w:line="50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签字：                                         </w:t>
      </w:r>
    </w:p>
    <w:p w:rsidR="001B3F30" w:rsidRPr="00A557E3" w:rsidRDefault="001B3F30" w:rsidP="001B3F30">
      <w:pPr>
        <w:spacing w:line="5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r w:rsidRPr="00A557E3">
        <w:rPr>
          <w:rFonts w:ascii="华文仿宋" w:eastAsia="华文仿宋" w:hAnsi="华文仿宋"/>
          <w:b/>
          <w:bCs/>
          <w:sz w:val="28"/>
          <w:szCs w:val="28"/>
        </w:rPr>
        <w:t xml:space="preserve">     </w:t>
      </w:r>
    </w:p>
    <w:p w:rsidR="001B3F30" w:rsidRPr="00B369D8" w:rsidRDefault="001B3F30" w:rsidP="001B3F30">
      <w:pPr>
        <w:spacing w:line="50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r w:rsidRPr="00A557E3">
        <w:rPr>
          <w:rFonts w:ascii="华文仿宋" w:eastAsia="华文仿宋" w:hAnsi="华文仿宋"/>
          <w:b/>
          <w:bCs/>
          <w:sz w:val="28"/>
          <w:szCs w:val="28"/>
        </w:rPr>
        <w:t xml:space="preserve">         </w:t>
      </w:r>
      <w:r w:rsidRPr="00A557E3">
        <w:rPr>
          <w:rFonts w:ascii="华文仿宋" w:eastAsia="华文仿宋" w:hAnsi="华文仿宋" w:hint="eastAsia"/>
          <w:b/>
          <w:bCs/>
          <w:sz w:val="28"/>
          <w:szCs w:val="28"/>
        </w:rPr>
        <w:t>日期：</w:t>
      </w:r>
    </w:p>
    <w:p w:rsidR="00144677" w:rsidRPr="00C05330" w:rsidRDefault="008C53A8">
      <w:pPr>
        <w:snapToGrid w:val="0"/>
        <w:spacing w:line="300" w:lineRule="auto"/>
        <w:jc w:val="center"/>
        <w:rPr>
          <w:kern w:val="0"/>
          <w:sz w:val="10"/>
          <w:szCs w:val="10"/>
        </w:rPr>
      </w:pPr>
      <w:r w:rsidRPr="00C05330">
        <w:rPr>
          <w:rFonts w:ascii="华文仿宋" w:eastAsia="华文仿宋" w:hAnsi="华文仿宋" w:hint="eastAsia"/>
          <w:b/>
          <w:bCs/>
          <w:sz w:val="28"/>
          <w:szCs w:val="28"/>
        </w:rPr>
        <w:t xml:space="preserve">                         </w:t>
      </w:r>
    </w:p>
    <w:p w:rsidR="00144677" w:rsidRPr="00C05330" w:rsidRDefault="008C53A8">
      <w:pPr>
        <w:widowControl/>
        <w:jc w:val="left"/>
        <w:rPr>
          <w:rFonts w:ascii="华文仿宋" w:eastAsia="华文仿宋" w:hAnsi="华文仿宋"/>
          <w:b/>
          <w:bCs/>
          <w:sz w:val="28"/>
          <w:szCs w:val="28"/>
        </w:rPr>
      </w:pPr>
      <w:bookmarkStart w:id="4" w:name="_Hlk76971317"/>
      <w:r w:rsidRPr="00C05330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附件：</w:t>
      </w:r>
    </w:p>
    <w:p w:rsidR="00144677" w:rsidRPr="00C05330" w:rsidRDefault="008C53A8">
      <w:pPr>
        <w:snapToGrid w:val="0"/>
        <w:spacing w:line="300" w:lineRule="auto"/>
        <w:jc w:val="center"/>
        <w:rPr>
          <w:b/>
          <w:bCs/>
          <w:sz w:val="36"/>
        </w:rPr>
      </w:pPr>
      <w:r w:rsidRPr="00C05330">
        <w:rPr>
          <w:rFonts w:hint="eastAsia"/>
          <w:b/>
          <w:bCs/>
          <w:sz w:val="36"/>
        </w:rPr>
        <w:t>学术学位研究生经典文献目录</w:t>
      </w:r>
    </w:p>
    <w:p w:rsidR="00144677" w:rsidRPr="00C05330" w:rsidRDefault="008C53A8">
      <w:pPr>
        <w:snapToGrid w:val="0"/>
        <w:spacing w:line="300" w:lineRule="auto"/>
        <w:jc w:val="left"/>
        <w:rPr>
          <w:b/>
          <w:bCs/>
          <w:sz w:val="28"/>
          <w:szCs w:val="28"/>
        </w:rPr>
      </w:pPr>
      <w:r w:rsidRPr="00C05330">
        <w:rPr>
          <w:rFonts w:hint="eastAsia"/>
          <w:b/>
          <w:bCs/>
          <w:sz w:val="28"/>
          <w:szCs w:val="28"/>
        </w:rPr>
        <w:t>学科代码：</w:t>
      </w:r>
      <w:r w:rsidRPr="00C05330">
        <w:rPr>
          <w:rFonts w:hint="eastAsia"/>
          <w:b/>
          <w:bCs/>
          <w:sz w:val="28"/>
          <w:szCs w:val="28"/>
        </w:rPr>
        <w:t xml:space="preserve">0817         </w:t>
      </w:r>
      <w:r w:rsidRPr="00C05330">
        <w:rPr>
          <w:b/>
          <w:bCs/>
          <w:sz w:val="28"/>
          <w:szCs w:val="28"/>
        </w:rPr>
        <w:t xml:space="preserve">  </w:t>
      </w:r>
      <w:r w:rsidRPr="00C05330">
        <w:rPr>
          <w:rFonts w:hint="eastAsia"/>
          <w:b/>
          <w:bCs/>
          <w:sz w:val="28"/>
          <w:szCs w:val="28"/>
        </w:rPr>
        <w:t xml:space="preserve">  </w:t>
      </w:r>
      <w:r w:rsidRPr="00C05330">
        <w:rPr>
          <w:b/>
          <w:bCs/>
          <w:sz w:val="28"/>
          <w:szCs w:val="28"/>
        </w:rPr>
        <w:t xml:space="preserve">   </w:t>
      </w:r>
      <w:r w:rsidRPr="00C05330">
        <w:rPr>
          <w:rFonts w:hint="eastAsia"/>
          <w:b/>
          <w:bCs/>
          <w:sz w:val="28"/>
          <w:szCs w:val="28"/>
        </w:rPr>
        <w:t xml:space="preserve"> </w:t>
      </w:r>
      <w:r w:rsidRPr="00C05330">
        <w:rPr>
          <w:b/>
          <w:bCs/>
          <w:sz w:val="28"/>
          <w:szCs w:val="28"/>
        </w:rPr>
        <w:t xml:space="preserve"> </w:t>
      </w:r>
      <w:r w:rsidRPr="00C05330">
        <w:rPr>
          <w:rFonts w:hint="eastAsia"/>
          <w:b/>
          <w:bCs/>
          <w:sz w:val="28"/>
          <w:szCs w:val="28"/>
        </w:rPr>
        <w:t xml:space="preserve">    </w:t>
      </w:r>
      <w:r w:rsidRPr="00C05330">
        <w:rPr>
          <w:rFonts w:hint="eastAsia"/>
          <w:b/>
          <w:bCs/>
          <w:sz w:val="28"/>
          <w:szCs w:val="28"/>
        </w:rPr>
        <w:t>学科名称：化学工程与技术</w:t>
      </w:r>
    </w:p>
    <w:p w:rsidR="00144677" w:rsidRPr="00C05330" w:rsidRDefault="00144677">
      <w:pPr>
        <w:snapToGrid w:val="0"/>
        <w:spacing w:line="300" w:lineRule="auto"/>
        <w:jc w:val="left"/>
        <w:rPr>
          <w:b/>
          <w:bCs/>
          <w:sz w:val="28"/>
          <w:szCs w:val="28"/>
        </w:rPr>
      </w:pPr>
    </w:p>
    <w:bookmarkEnd w:id="4"/>
    <w:p w:rsidR="00144677" w:rsidRPr="00C05330" w:rsidRDefault="008C53A8">
      <w:r w:rsidRPr="00C05330">
        <w:rPr>
          <w:rFonts w:hint="eastAsia"/>
        </w:rPr>
        <w:t>高分子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T</w:t>
      </w:r>
      <w:r w:rsidRPr="00C05330">
        <w:rPr>
          <w:rFonts w:hint="eastAsia"/>
        </w:rPr>
        <w:t>.</w:t>
      </w:r>
      <w:r w:rsidRPr="00C05330">
        <w:t xml:space="preserve"> Yokozawa and Y</w:t>
      </w:r>
      <w:r w:rsidRPr="00C05330">
        <w:rPr>
          <w:rFonts w:hint="eastAsia"/>
        </w:rPr>
        <w:t>.</w:t>
      </w:r>
      <w:r w:rsidRPr="00C05330">
        <w:t xml:space="preserve"> Ohta</w:t>
      </w:r>
      <w:r w:rsidRPr="00C05330">
        <w:rPr>
          <w:rFonts w:hint="eastAsia"/>
        </w:rPr>
        <w:t xml:space="preserve">. </w:t>
      </w:r>
      <w:r w:rsidRPr="00C05330">
        <w:t>Transformation of Step-Growth Polymerization into Living Chain-Growth Polymerization</w:t>
      </w:r>
      <w:r w:rsidRPr="00C05330">
        <w:rPr>
          <w:rFonts w:hint="eastAsia"/>
        </w:rPr>
        <w:t xml:space="preserve">. Chemical Review, 116: </w:t>
      </w:r>
      <w:r w:rsidRPr="00C05330">
        <w:t>1950–1968</w:t>
      </w:r>
      <w:r w:rsidRPr="00C05330">
        <w:rPr>
          <w:rFonts w:hint="eastAsia"/>
        </w:rPr>
        <w:t>, 2016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X</w:t>
      </w:r>
      <w:r w:rsidRPr="00C05330">
        <w:rPr>
          <w:rFonts w:hint="eastAsia"/>
        </w:rPr>
        <w:t>.</w:t>
      </w:r>
      <w:r w:rsidRPr="00C05330">
        <w:t xml:space="preserve"> Q</w:t>
      </w:r>
      <w:r w:rsidRPr="00C05330">
        <w:rPr>
          <w:rFonts w:hint="eastAsia"/>
        </w:rPr>
        <w:t>.</w:t>
      </w:r>
      <w:r w:rsidRPr="00C05330">
        <w:t xml:space="preserve"> Cheng</w:t>
      </w:r>
      <w:r w:rsidRPr="00C05330">
        <w:rPr>
          <w:rFonts w:hint="eastAsia"/>
        </w:rPr>
        <w:t xml:space="preserve">, </w:t>
      </w:r>
      <w:r w:rsidRPr="00C05330">
        <w:t>Z</w:t>
      </w:r>
      <w:r w:rsidRPr="00C05330">
        <w:rPr>
          <w:rFonts w:hint="eastAsia"/>
        </w:rPr>
        <w:t>.</w:t>
      </w:r>
      <w:r w:rsidRPr="00C05330">
        <w:t xml:space="preserve"> X</w:t>
      </w:r>
      <w:r w:rsidRPr="00C05330">
        <w:rPr>
          <w:rFonts w:hint="eastAsia"/>
        </w:rPr>
        <w:t>.</w:t>
      </w:r>
      <w:r w:rsidRPr="00C05330">
        <w:t xml:space="preserve"> Wang</w:t>
      </w:r>
      <w:r w:rsidRPr="00C05330">
        <w:rPr>
          <w:rFonts w:hint="eastAsia"/>
        </w:rPr>
        <w:t xml:space="preserve"> and </w:t>
      </w:r>
      <w:r w:rsidRPr="00C05330">
        <w:t>X</w:t>
      </w:r>
      <w:r w:rsidRPr="00C05330">
        <w:rPr>
          <w:rFonts w:hint="eastAsia"/>
        </w:rPr>
        <w:t>.</w:t>
      </w:r>
      <w:r w:rsidRPr="00C05330">
        <w:t xml:space="preserve"> Jiang</w:t>
      </w:r>
      <w:r w:rsidRPr="00C05330">
        <w:rPr>
          <w:rFonts w:hint="eastAsia"/>
        </w:rPr>
        <w:t xml:space="preserve"> et al. </w:t>
      </w:r>
      <w:r w:rsidRPr="00C05330">
        <w:t>Towards sustainable ultrafast molecular-separation membranes: From conventional polymers to emerging materials</w:t>
      </w:r>
      <w:r w:rsidRPr="00C05330">
        <w:rPr>
          <w:rFonts w:hint="eastAsia"/>
        </w:rPr>
        <w:t xml:space="preserve">. </w:t>
      </w:r>
      <w:r w:rsidRPr="00C05330">
        <w:t>Progress in Materials Science</w:t>
      </w:r>
      <w:r w:rsidRPr="00C05330">
        <w:rPr>
          <w:rFonts w:hint="eastAsia"/>
        </w:rPr>
        <w:t>, 92: 258-283, 2018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Stephen Mann</w:t>
      </w:r>
      <w:r w:rsidRPr="00C05330">
        <w:rPr>
          <w:rFonts w:hint="eastAsia"/>
        </w:rPr>
        <w:t>.</w:t>
      </w:r>
      <w:r w:rsidRPr="00C05330">
        <w:t xml:space="preserve"> Life as a Nanoscale Phenomenon</w:t>
      </w:r>
      <w:r w:rsidRPr="00C05330">
        <w:rPr>
          <w:rFonts w:hint="eastAsia"/>
        </w:rPr>
        <w:t>.</w:t>
      </w:r>
      <w:r w:rsidRPr="00C05330">
        <w:t xml:space="preserve"> Angew. Chem. Int. Ed.</w:t>
      </w:r>
      <w:r w:rsidRPr="00C05330">
        <w:rPr>
          <w:rFonts w:hint="eastAsia"/>
        </w:rPr>
        <w:t>,</w:t>
      </w:r>
      <w:r w:rsidRPr="00C05330">
        <w:t xml:space="preserve"> 47</w:t>
      </w:r>
      <w:r w:rsidRPr="00C05330">
        <w:rPr>
          <w:rFonts w:hint="eastAsia"/>
        </w:rPr>
        <w:t>:</w:t>
      </w:r>
      <w:r w:rsidRPr="00C05330">
        <w:t xml:space="preserve"> 5306 – 5320</w:t>
      </w:r>
      <w:r w:rsidRPr="00C05330">
        <w:rPr>
          <w:rFonts w:hint="eastAsia"/>
        </w:rPr>
        <w:t xml:space="preserve">, </w:t>
      </w:r>
      <w:r w:rsidRPr="00C05330">
        <w:t>2008</w:t>
      </w:r>
      <w:r w:rsidRPr="00C05330">
        <w:rPr>
          <w:rFonts w:hint="eastAsia"/>
        </w:rPr>
        <w:t>（超标，但经典）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A</w:t>
      </w:r>
      <w:r w:rsidRPr="00C05330">
        <w:rPr>
          <w:rFonts w:hint="eastAsia"/>
        </w:rPr>
        <w:t>.</w:t>
      </w:r>
      <w:r w:rsidRPr="00C05330">
        <w:t xml:space="preserve"> Ciferri</w:t>
      </w:r>
      <w:r w:rsidRPr="00C05330">
        <w:rPr>
          <w:rFonts w:hint="eastAsia"/>
        </w:rPr>
        <w:t xml:space="preserve">. </w:t>
      </w:r>
      <w:r w:rsidRPr="00C05330">
        <w:t>Translation of Molecular Order to the Macroscopic Level</w:t>
      </w:r>
      <w:r w:rsidRPr="00C05330">
        <w:rPr>
          <w:rFonts w:hint="eastAsia"/>
        </w:rPr>
        <w:t xml:space="preserve">. Chemical Review, 116: </w:t>
      </w:r>
      <w:r w:rsidRPr="00C05330">
        <w:t>1353–1374</w:t>
      </w:r>
      <w:r w:rsidRPr="00C05330">
        <w:rPr>
          <w:rFonts w:hint="eastAsia"/>
        </w:rPr>
        <w:t>, 2016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A</w:t>
      </w:r>
      <w:r w:rsidRPr="00C05330">
        <w:rPr>
          <w:rFonts w:hint="eastAsia"/>
        </w:rPr>
        <w:t>.</w:t>
      </w:r>
      <w:r w:rsidRPr="00C05330">
        <w:t xml:space="preserve"> Gandini, T</w:t>
      </w:r>
      <w:r w:rsidRPr="00C05330">
        <w:rPr>
          <w:rFonts w:hint="eastAsia"/>
        </w:rPr>
        <w:t>.</w:t>
      </w:r>
      <w:r w:rsidRPr="00C05330">
        <w:t xml:space="preserve"> M. Lacerda</w:t>
      </w:r>
      <w:r w:rsidRPr="00C05330">
        <w:rPr>
          <w:rFonts w:hint="eastAsia"/>
        </w:rPr>
        <w:t xml:space="preserve"> and</w:t>
      </w:r>
      <w:r w:rsidRPr="00C05330">
        <w:t xml:space="preserve"> A</w:t>
      </w:r>
      <w:r w:rsidRPr="00C05330">
        <w:rPr>
          <w:rFonts w:hint="eastAsia"/>
        </w:rPr>
        <w:t>.</w:t>
      </w:r>
      <w:r w:rsidRPr="00C05330">
        <w:t xml:space="preserve"> J. F. Carvalho</w:t>
      </w:r>
      <w:r w:rsidRPr="00C05330">
        <w:rPr>
          <w:rFonts w:hint="eastAsia"/>
        </w:rPr>
        <w:t xml:space="preserve"> et al. </w:t>
      </w:r>
      <w:r w:rsidRPr="00C05330">
        <w:t>Progress of Polymers from Renewable Resources: Furans, Vegetable Oils, and Polysaccharides</w:t>
      </w:r>
      <w:r w:rsidRPr="00C05330">
        <w:rPr>
          <w:rFonts w:hint="eastAsia"/>
        </w:rPr>
        <w:t xml:space="preserve">. Chemical Review, 116: </w:t>
      </w:r>
      <w:r w:rsidRPr="00C05330">
        <w:t>1637–1669</w:t>
      </w:r>
      <w:r w:rsidRPr="00C05330">
        <w:rPr>
          <w:rFonts w:hint="eastAsia"/>
        </w:rPr>
        <w:t>, 2016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H</w:t>
      </w:r>
      <w:r w:rsidRPr="00C05330">
        <w:rPr>
          <w:rFonts w:hint="eastAsia"/>
        </w:rPr>
        <w:t>.</w:t>
      </w:r>
      <w:r w:rsidRPr="00C05330">
        <w:t xml:space="preserve"> Abbasi, M</w:t>
      </w:r>
      <w:r w:rsidRPr="00C05330">
        <w:rPr>
          <w:rFonts w:hint="eastAsia"/>
        </w:rPr>
        <w:t>.</w:t>
      </w:r>
      <w:r w:rsidRPr="00C05330">
        <w:t xml:space="preserve"> Antunes</w:t>
      </w:r>
      <w:r w:rsidRPr="00C05330">
        <w:rPr>
          <w:rFonts w:hint="eastAsia"/>
        </w:rPr>
        <w:t xml:space="preserve"> and</w:t>
      </w:r>
      <w:r w:rsidRPr="00C05330">
        <w:t xml:space="preserve"> J</w:t>
      </w:r>
      <w:r w:rsidRPr="00C05330">
        <w:rPr>
          <w:rFonts w:hint="eastAsia"/>
        </w:rPr>
        <w:t>.</w:t>
      </w:r>
      <w:r w:rsidRPr="00C05330">
        <w:t xml:space="preserve"> I</w:t>
      </w:r>
      <w:r w:rsidRPr="00C05330">
        <w:rPr>
          <w:rFonts w:hint="eastAsia"/>
        </w:rPr>
        <w:t>.</w:t>
      </w:r>
      <w:r w:rsidRPr="00C05330">
        <w:t xml:space="preserve"> Velasco</w:t>
      </w:r>
      <w:r w:rsidRPr="00C05330">
        <w:rPr>
          <w:rFonts w:hint="eastAsia"/>
        </w:rPr>
        <w:t xml:space="preserve">. </w:t>
      </w:r>
      <w:r w:rsidRPr="00C05330">
        <w:t>Recent advances in carbon-based polymer nanocomposites for electromagnetic interference shielding</w:t>
      </w:r>
      <w:r w:rsidRPr="00C05330">
        <w:rPr>
          <w:rFonts w:hint="eastAsia"/>
        </w:rPr>
        <w:t xml:space="preserve">. </w:t>
      </w:r>
      <w:r w:rsidRPr="00C05330">
        <w:t>Progress in Materials Science</w:t>
      </w:r>
      <w:r w:rsidRPr="00C05330">
        <w:rPr>
          <w:rFonts w:hint="eastAsia"/>
        </w:rPr>
        <w:t xml:space="preserve">, 103: </w:t>
      </w:r>
      <w:r w:rsidRPr="00C05330">
        <w:t>319-373</w:t>
      </w:r>
      <w:r w:rsidRPr="00C05330">
        <w:rPr>
          <w:rFonts w:hint="eastAsia"/>
        </w:rPr>
        <w:t>, 2019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Z</w:t>
      </w:r>
      <w:r w:rsidRPr="00C05330">
        <w:rPr>
          <w:rFonts w:hint="eastAsia"/>
        </w:rPr>
        <w:t>.</w:t>
      </w:r>
      <w:r w:rsidRPr="00C05330">
        <w:t xml:space="preserve"> Li,</w:t>
      </w:r>
      <w:r w:rsidRPr="00C05330">
        <w:rPr>
          <w:rFonts w:hint="eastAsia"/>
        </w:rPr>
        <w:t xml:space="preserve"> </w:t>
      </w:r>
      <w:r w:rsidRPr="00C05330">
        <w:t>L</w:t>
      </w:r>
      <w:r w:rsidRPr="00C05330">
        <w:rPr>
          <w:rFonts w:hint="eastAsia"/>
        </w:rPr>
        <w:t>.</w:t>
      </w:r>
      <w:r w:rsidRPr="00C05330">
        <w:t xml:space="preserve"> Wang</w:t>
      </w:r>
      <w:r w:rsidRPr="00C05330">
        <w:rPr>
          <w:rFonts w:hint="eastAsia"/>
        </w:rPr>
        <w:t xml:space="preserve"> and </w:t>
      </w:r>
      <w:r w:rsidRPr="00C05330">
        <w:t>Y</w:t>
      </w:r>
      <w:r w:rsidRPr="00C05330">
        <w:rPr>
          <w:rFonts w:hint="eastAsia"/>
        </w:rPr>
        <w:t>.</w:t>
      </w:r>
      <w:r w:rsidRPr="00C05330">
        <w:t xml:space="preserve"> Li</w:t>
      </w:r>
      <w:r w:rsidRPr="00C05330">
        <w:rPr>
          <w:rFonts w:hint="eastAsia"/>
        </w:rPr>
        <w:t xml:space="preserve"> et al.</w:t>
      </w:r>
      <w:r w:rsidRPr="00C05330">
        <w:t xml:space="preserve"> Carbon-based functional nanomaterials: Preparation, properties and applications</w:t>
      </w:r>
      <w:r w:rsidRPr="00C05330">
        <w:rPr>
          <w:rFonts w:hint="eastAsia"/>
        </w:rPr>
        <w:t xml:space="preserve">. </w:t>
      </w:r>
      <w:r w:rsidRPr="00C05330">
        <w:t>Composites Science and Technology,</w:t>
      </w:r>
      <w:r w:rsidRPr="00C05330">
        <w:rPr>
          <w:rFonts w:hint="eastAsia"/>
        </w:rPr>
        <w:t xml:space="preserve"> </w:t>
      </w:r>
      <w:r w:rsidRPr="00C05330">
        <w:t>179</w:t>
      </w:r>
      <w:r w:rsidRPr="00C05330">
        <w:rPr>
          <w:rFonts w:hint="eastAsia"/>
        </w:rPr>
        <w:t xml:space="preserve">: </w:t>
      </w:r>
      <w:r w:rsidRPr="00C05330">
        <w:t>10-40</w:t>
      </w:r>
      <w:r w:rsidRPr="00C05330">
        <w:rPr>
          <w:rFonts w:hint="eastAsia"/>
        </w:rPr>
        <w:t>, 2019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C</w:t>
      </w:r>
      <w:r w:rsidRPr="00C05330">
        <w:rPr>
          <w:rFonts w:hint="eastAsia"/>
        </w:rPr>
        <w:t>.</w:t>
      </w:r>
      <w:r w:rsidRPr="00C05330">
        <w:t xml:space="preserve"> Pramanik, D</w:t>
      </w:r>
      <w:r w:rsidRPr="00C05330">
        <w:rPr>
          <w:rFonts w:hint="eastAsia"/>
        </w:rPr>
        <w:t>.</w:t>
      </w:r>
      <w:r w:rsidRPr="00C05330">
        <w:t xml:space="preserve"> Nepal</w:t>
      </w:r>
      <w:r w:rsidRPr="00C05330">
        <w:rPr>
          <w:rFonts w:hint="eastAsia"/>
        </w:rPr>
        <w:t xml:space="preserve"> and</w:t>
      </w:r>
      <w:r w:rsidRPr="00C05330">
        <w:t xml:space="preserve"> M</w:t>
      </w:r>
      <w:r w:rsidRPr="00C05330">
        <w:rPr>
          <w:rFonts w:hint="eastAsia"/>
        </w:rPr>
        <w:t>.</w:t>
      </w:r>
      <w:r w:rsidRPr="00C05330">
        <w:t xml:space="preserve"> Nathanson</w:t>
      </w:r>
      <w:r w:rsidRPr="00C05330">
        <w:rPr>
          <w:rFonts w:hint="eastAsia"/>
        </w:rPr>
        <w:t xml:space="preserve"> et al. </w:t>
      </w:r>
      <w:r w:rsidRPr="00C05330">
        <w:t>Molecular engineering of interphases in polymer/carbon nanotube composites to reach the limits of mechanical performance</w:t>
      </w:r>
      <w:r w:rsidRPr="00C05330">
        <w:rPr>
          <w:rFonts w:hint="eastAsia"/>
        </w:rPr>
        <w:t xml:space="preserve">. </w:t>
      </w:r>
      <w:r w:rsidRPr="00C05330">
        <w:t>Composites Science and Technology,</w:t>
      </w:r>
      <w:r w:rsidRPr="00C05330">
        <w:rPr>
          <w:rFonts w:hint="eastAsia"/>
        </w:rPr>
        <w:t xml:space="preserve"> 166: 84-96, 2018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L</w:t>
      </w:r>
      <w:r w:rsidRPr="00C05330">
        <w:rPr>
          <w:rFonts w:hint="eastAsia"/>
        </w:rPr>
        <w:t>.</w:t>
      </w:r>
      <w:r w:rsidRPr="00C05330">
        <w:t xml:space="preserve"> Liu, C</w:t>
      </w:r>
      <w:r w:rsidRPr="00C05330">
        <w:rPr>
          <w:rFonts w:hint="eastAsia"/>
        </w:rPr>
        <w:t>.</w:t>
      </w:r>
      <w:r w:rsidRPr="00C05330">
        <w:t xml:space="preserve"> Jia, J</w:t>
      </w:r>
      <w:r w:rsidRPr="00C05330">
        <w:rPr>
          <w:rFonts w:hint="eastAsia"/>
        </w:rPr>
        <w:t>.</w:t>
      </w:r>
      <w:r w:rsidRPr="00C05330">
        <w:t xml:space="preserve"> He</w:t>
      </w:r>
      <w:r w:rsidRPr="00C05330">
        <w:rPr>
          <w:rFonts w:hint="eastAsia"/>
        </w:rPr>
        <w:t xml:space="preserve"> et al. </w:t>
      </w:r>
      <w:r w:rsidRPr="00C05330">
        <w:t>Interfacial characterization, control and modification of carbon fiber reinforced polymer composites</w:t>
      </w:r>
      <w:r w:rsidRPr="00C05330">
        <w:rPr>
          <w:rFonts w:hint="eastAsia"/>
        </w:rPr>
        <w:t xml:space="preserve">. </w:t>
      </w:r>
      <w:r w:rsidRPr="00C05330">
        <w:t>Composites Science and Technology,</w:t>
      </w:r>
      <w:r w:rsidRPr="00C05330">
        <w:rPr>
          <w:rFonts w:hint="eastAsia"/>
        </w:rPr>
        <w:t xml:space="preserve"> 121: 56-72, 2015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J</w:t>
      </w:r>
      <w:r w:rsidRPr="00C05330">
        <w:rPr>
          <w:rFonts w:hint="eastAsia"/>
        </w:rPr>
        <w:t>.</w:t>
      </w:r>
      <w:r w:rsidRPr="00C05330">
        <w:t xml:space="preserve"> Karger-Kocsis, H</w:t>
      </w:r>
      <w:r w:rsidRPr="00C05330">
        <w:rPr>
          <w:rFonts w:hint="eastAsia"/>
        </w:rPr>
        <w:t>.</w:t>
      </w:r>
      <w:r w:rsidRPr="00C05330">
        <w:t xml:space="preserve"> Mahmood</w:t>
      </w:r>
      <w:r w:rsidRPr="00C05330">
        <w:rPr>
          <w:rFonts w:hint="eastAsia"/>
        </w:rPr>
        <w:t xml:space="preserve"> and </w:t>
      </w:r>
      <w:r w:rsidRPr="00C05330">
        <w:t>A</w:t>
      </w:r>
      <w:r w:rsidRPr="00C05330">
        <w:rPr>
          <w:rFonts w:hint="eastAsia"/>
        </w:rPr>
        <w:t>.</w:t>
      </w:r>
      <w:r w:rsidRPr="00C05330">
        <w:t xml:space="preserve"> Pegoretti</w:t>
      </w:r>
      <w:r w:rsidRPr="00C05330">
        <w:rPr>
          <w:rFonts w:hint="eastAsia"/>
        </w:rPr>
        <w:t xml:space="preserve">. </w:t>
      </w:r>
      <w:r w:rsidRPr="00C05330">
        <w:t>Recent advances in fiber/matrix interphase engineering for polymer composites</w:t>
      </w:r>
      <w:r w:rsidRPr="00C05330">
        <w:rPr>
          <w:rFonts w:hint="eastAsia"/>
        </w:rPr>
        <w:t xml:space="preserve">. </w:t>
      </w:r>
      <w:r w:rsidRPr="00C05330">
        <w:t>Progress in Materials Science,</w:t>
      </w:r>
      <w:r w:rsidRPr="00C05330">
        <w:rPr>
          <w:rFonts w:hint="eastAsia"/>
        </w:rPr>
        <w:t xml:space="preserve"> 73</w:t>
      </w:r>
      <w:r w:rsidRPr="00C05330">
        <w:t xml:space="preserve">: </w:t>
      </w:r>
      <w:r w:rsidRPr="00C05330">
        <w:rPr>
          <w:rFonts w:hint="eastAsia"/>
        </w:rPr>
        <w:t>1-43, 2015</w:t>
      </w:r>
    </w:p>
    <w:p w:rsidR="00144677" w:rsidRPr="00C05330" w:rsidRDefault="008C53A8">
      <w:r w:rsidRPr="00C05330">
        <w:rPr>
          <w:rFonts w:hint="eastAsia"/>
        </w:rPr>
        <w:t>电化学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克里斯汀</w:t>
      </w:r>
      <w:r w:rsidRPr="00C05330">
        <w:t>·</w:t>
      </w:r>
      <w:r w:rsidRPr="00C05330">
        <w:t>朱利恩［法］，艾伦</w:t>
      </w:r>
      <w:r w:rsidRPr="00C05330">
        <w:t>·</w:t>
      </w:r>
      <w:r w:rsidRPr="00C05330">
        <w:t>玛格［法］，阿肖克</w:t>
      </w:r>
      <w:r w:rsidRPr="00C05330">
        <w:t>·</w:t>
      </w:r>
      <w:r w:rsidRPr="00C05330">
        <w:t>维志［加］</w:t>
      </w:r>
      <w:r w:rsidRPr="00C05330">
        <w:rPr>
          <w:rFonts w:hint="eastAsia"/>
        </w:rPr>
        <w:t>.</w:t>
      </w:r>
      <w:r w:rsidRPr="00C05330">
        <w:t xml:space="preserve"> </w:t>
      </w:r>
      <w:r w:rsidRPr="00C05330">
        <w:t>锂电池科学与技术</w:t>
      </w:r>
      <w:r w:rsidRPr="00C05330">
        <w:rPr>
          <w:rFonts w:hint="eastAsia"/>
        </w:rPr>
        <w:t>.</w:t>
      </w:r>
      <w:r w:rsidRPr="00C05330">
        <w:t xml:space="preserve"> </w:t>
      </w:r>
      <w:r w:rsidRPr="00C05330">
        <w:t>化学工业出版社，</w:t>
      </w:r>
      <w:r w:rsidRPr="00C05330">
        <w:t xml:space="preserve"> 2018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 xml:space="preserve">Frano Barbir </w:t>
      </w:r>
      <w:r w:rsidRPr="00C05330">
        <w:rPr>
          <w:rFonts w:hint="eastAsia"/>
        </w:rPr>
        <w:t>[</w:t>
      </w:r>
      <w:r w:rsidRPr="00C05330">
        <w:t>美</w:t>
      </w:r>
      <w:r w:rsidRPr="00C05330">
        <w:t>]. PEM</w:t>
      </w:r>
      <w:r w:rsidRPr="00C05330">
        <w:t>燃料电池：理论与实践</w:t>
      </w:r>
      <w:r w:rsidRPr="00C05330">
        <w:rPr>
          <w:rFonts w:hint="eastAsia"/>
        </w:rPr>
        <w:t>.</w:t>
      </w:r>
      <w:r w:rsidRPr="00C05330">
        <w:t xml:space="preserve"> </w:t>
      </w:r>
      <w:r w:rsidRPr="00C05330">
        <w:t>机械工业出版社</w:t>
      </w:r>
      <w:r w:rsidRPr="00C05330">
        <w:t xml:space="preserve"> 2016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rPr>
          <w:rFonts w:hint="eastAsia"/>
        </w:rPr>
        <w:t>Allen .J. Bard and Larry R. Faulkner. Electrochemical Methods: Fundamentals and Application.</w:t>
      </w:r>
      <w:r w:rsidRPr="00C05330">
        <w:t xml:space="preserve"> John Wiley &amp; Sons, Inc. 2001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Obana, B. The irreversible momentum of clean energy. Science, 2017, 355:126-129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Armand, M. &amp; Tarascon, J. M. Building better batteries. Nature, 2008,451:652-657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Whittingham, M. S. Ultimate limits to intercalation reactions for lithium batteries. Chem. Rev. 2014, 114:11414-11443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Pang, Q., Liang, X., Kwok, C. Y. &amp; Nazar, L. F. Advances in lithium–sulfur batteries based on multifunctional cathodes and electrolytes. Nature Energy, 2016, 1: 16132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 xml:space="preserve">Bruce, P. G., Freunberger, S. A., Hardwick, L. J. &amp; Tarascon, J.-M. Li-O2 and Li-S batteries </w:t>
      </w:r>
      <w:r w:rsidRPr="00C05330">
        <w:lastRenderedPageBreak/>
        <w:t>with high energy storage. Nat Mater, 2012, 11:19-29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Raccichini, R., Varzi, A., Passerini, S. &amp; Scrosati, B. The role of graphene for electrochemical energy storage. Nat Mater, 2015, 14:271-279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Lin, D., Liu, Y. &amp; Cui, Y. Reviving the lithium metal anode for high-energy batteries. Nature Nanotechnology, 2017, 12:194</w:t>
      </w:r>
    </w:p>
    <w:p w:rsidR="00144677" w:rsidRPr="00C05330" w:rsidRDefault="008C53A8">
      <w:r w:rsidRPr="00C05330">
        <w:rPr>
          <w:rFonts w:hint="eastAsia"/>
        </w:rPr>
        <w:t>能源</w:t>
      </w:r>
      <w:r w:rsidRPr="00C05330">
        <w:t>化工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M. Faraday, The Bakerian Lecture: Experimental Relations of Gold (and Other Metals) to Light, Phil. Trans. R. Soc. Lond., 147 (1857) 145-181.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J. N. Israelachvili, and G. E. Adams, Measurement of Forces between Two Mica Surfaces in Aqueous Electrolyte Solutions</w:t>
      </w:r>
      <w:r w:rsidRPr="00C05330">
        <w:rPr>
          <w:rFonts w:hint="eastAsia"/>
        </w:rPr>
        <w:t xml:space="preserve"> </w:t>
      </w:r>
      <w:r w:rsidRPr="00C05330">
        <w:t>in the Range 0-100 nm, J. Chem. Soc. Faraday Trans., 74 (1978) 975-1001.</w:t>
      </w:r>
    </w:p>
    <w:p w:rsidR="00144677" w:rsidRPr="00C05330" w:rsidRDefault="008C53A8">
      <w:r w:rsidRPr="00C05330">
        <w:rPr>
          <w:rFonts w:hint="eastAsia"/>
        </w:rPr>
        <w:t>生物</w:t>
      </w:r>
      <w:r w:rsidRPr="00C05330">
        <w:t>化工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Amy Y N, Mason A F, Van H J C M. The Hallmarks of Living Systems: Towards Creating Artificial Cells[J]. Interface Focus, 2018, 8(5):20180023.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W Zong, S Ma, et al. A Fissionable Artificial Eukaryote-like Cell Model[J]. Journal of the American Chemical Society, 2017, 139:9955-9960.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Li Q, Han X. Self</w:t>
      </w:r>
      <w:r w:rsidRPr="00C05330">
        <w:rPr>
          <w:rFonts w:hint="eastAsia"/>
        </w:rPr>
        <w:t>‐</w:t>
      </w:r>
      <w:r w:rsidRPr="00C05330">
        <w:t>Assembled “Breathing” Grana</w:t>
      </w:r>
      <w:r w:rsidRPr="00C05330">
        <w:rPr>
          <w:rFonts w:hint="eastAsia"/>
        </w:rPr>
        <w:t>‐</w:t>
      </w:r>
      <w:r w:rsidRPr="00C05330">
        <w:t>Like Cisternae Stacks[J]. Advanced Materials, 2018, 30(25): 1707482.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Wang R, Yan M, Li H, et al. FeS2 Nanoparticles Decorated Graphene as Microbial</w:t>
      </w:r>
      <w:r w:rsidRPr="00C05330">
        <w:rPr>
          <w:rFonts w:hint="eastAsia"/>
        </w:rPr>
        <w:t>‐</w:t>
      </w:r>
      <w:r w:rsidRPr="00C05330">
        <w:t>Fuel</w:t>
      </w:r>
      <w:r w:rsidRPr="00C05330">
        <w:rPr>
          <w:rFonts w:hint="eastAsia"/>
        </w:rPr>
        <w:t>‐</w:t>
      </w:r>
      <w:r w:rsidRPr="00C05330">
        <w:t>Cell Anode Achieving High Power Density[J]. Advanced Materials, 2018, 30(22): 1800618.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Nam J, Won N, Jin H, et al. pH-Induced Aggregation of Gold Nanoparticles for Photothermal Cancer Therapy[J]. Journal of the American Chemical Society, 2009, 131(38):13639-13645.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Guo W, Guo C, Zheng N, et al. CsxWO3 Nanorods Coated with Polyelectrolyte Multilayers as a Multifunctional Nanomaterial for Bimodal Imaging</w:t>
      </w:r>
      <w:r w:rsidRPr="00C05330">
        <w:rPr>
          <w:rFonts w:hint="eastAsia"/>
        </w:rPr>
        <w:t>‐</w:t>
      </w:r>
      <w:r w:rsidRPr="00C05330">
        <w:t>Guided Photothermal/Photodynamic Cancer Treatment[J]. Advanced Materials, 2017, 29(4): 1604157.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Logan B E, Hamelers B, Rozendal R, et al. Microbial Fuel Cells: Methodology and Technology[J]. Environmental Science &amp; Technology, 2006, 40(17): 5181-5192.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Lei W, Xu J, Yu Y, et al. Halide Ion-Mediated Synthesis of L10-FePt Nanoparticles with Tunable Magnetic Properties[J]. Nano Letters, 2018, 18(12): 7839-7844.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Yaghi O M, O"Keeffe M, Ockwig N W, et al. Reticular Synthesis and The Design of New Materials[J]. Nature, 2003, 423(6941):705-714.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Furukawa H, Cordova K E, O’Keeffe M, et al. The chemistry and applications of metal-organic frameworks[J]. Science, 2013, 341(6149):1230444</w:t>
      </w:r>
    </w:p>
    <w:p w:rsidR="00144677" w:rsidRPr="00C05330" w:rsidRDefault="008C53A8">
      <w:r w:rsidRPr="00C05330">
        <w:rPr>
          <w:rFonts w:hint="eastAsia"/>
        </w:rPr>
        <w:t>化学</w:t>
      </w:r>
      <w:r w:rsidRPr="00C05330">
        <w:t>工艺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YI-FAN HUANG, SUROJIT CHATTOPADHYAY, YI-JUN JEN, et al. Improved broadband and quasiomnidirectional anti-reflection properties with biomimetic silicon nanostructures. nature nanotechnology 2007, 2:770-774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Norman Nan Shi, Cheng-Chia Tsai, Fernando Camino, et al. Keeping cool: Enhanced optical reflection and radiative heat dissipation in Saharan silver ants. SCIENCE, 2015, 349(6245):298-301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Ziyang Deng, Jianhua Zhou, Lei Miao, et al. The emergence of solar thermal utilization: solardriven steam generation. J. Mater. Chem. A, 2017, 5, 7691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 xml:space="preserve">Minmin Gao,  Liangliang Zhu,  Connor Kangnuo Peh, et al. Solar absorber material and </w:t>
      </w:r>
      <w:r w:rsidRPr="00C05330">
        <w:lastRenderedPageBreak/>
        <w:t>system designs for photothermal water vaporization towards clean water and energy production. Energy Environ. Sci., 2019, 12, 841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Jyotirmoy Mandal, Yanke Fu, Adam C. Overvig, et al. Hierarchically porous polymer coatings for highly efficient passive daytime radiative cooling. Science 2018, 362, 315–319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Civan Avci, Inhar Imaz, Arnau Carné-Sánchez, et al. Self-assembly of polyhedral metal–organic</w:t>
      </w:r>
    </w:p>
    <w:p w:rsidR="00144677" w:rsidRPr="00C05330" w:rsidRDefault="008C53A8">
      <w:pPr>
        <w:pStyle w:val="af4"/>
        <w:ind w:left="360" w:firstLineChars="0" w:firstLine="0"/>
      </w:pPr>
      <w:r w:rsidRPr="00C05330">
        <w:t>framework particles into three-dimensional ordered superstructures. NATURE CHEMISTRY,2018, 10:78-84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Yuqi Zhang, Qianqian Fu, Jianping Ge. Photonic sensing of organic solvents through geometric study of dynamic reflection spectrum. NATURE COMMUNICATIONS 2015, 6:7510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Guohua Liu, Jinliang Xu, Kaiying Wang. Solar water evaporation by black photothermal sheets. Nano Energy 2017, 41:269–284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Peng Tao, George Ni, Chengyi Song, et al. Solar-driven interfacial evaporation. Nature Energy.</w:t>
      </w:r>
      <w:r w:rsidRPr="00C05330">
        <w:rPr>
          <w:rFonts w:hint="eastAsia"/>
        </w:rPr>
        <w:t xml:space="preserve"> 2018</w:t>
      </w:r>
      <w:r w:rsidRPr="00C05330">
        <w:t xml:space="preserve">, </w:t>
      </w:r>
      <w:r w:rsidRPr="00C05330">
        <w:rPr>
          <w:rFonts w:hint="eastAsia"/>
        </w:rPr>
        <w:t>3(12</w:t>
      </w:r>
      <w:r w:rsidRPr="00C05330">
        <w:t>)</w:t>
      </w:r>
      <w:r w:rsidRPr="00C05330">
        <w:rPr>
          <w:rFonts w:hint="eastAsia"/>
        </w:rPr>
        <w:t>: 1031-1041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Khalid AlKaabi, Casey R. Wade,Mircea Dinca. Transparent-to-Dark Electrochromic Behavior in Naphthalene-Diimide-Based Mesoporous MOF-74 Analogs. Chem 2016, 1, 264–272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Na Li, Pingping Wei, Linan Yu. Dynamically Switchable Multicolor Electrochromic Films. Small 2019, 15, 1804974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Alok D. Bokare, Wonyong Choi. Review of iron-free Fenton-like systems for activating H2O2 in</w:t>
      </w:r>
    </w:p>
    <w:p w:rsidR="00144677" w:rsidRPr="00C05330" w:rsidRDefault="008C53A8">
      <w:pPr>
        <w:pStyle w:val="af4"/>
        <w:ind w:left="360" w:firstLineChars="0" w:firstLine="0"/>
      </w:pPr>
      <w:r w:rsidRPr="00C05330">
        <w:t>advanced oxidation processes. Journal of Hazardous Materials 2014, 275, 121–135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Fenglian Fu a, Dionysios D. Dionysiou, Hong Liu. The use of zero-valent iron for groundwater remediation and wastewater treatment: A review. Journal of Hazardous Materials 2014, 267:194–205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rPr>
          <w:rFonts w:hint="eastAsia"/>
        </w:rPr>
        <w:t>Kun Sun, Tao Cheng, Lina Wu</w:t>
      </w:r>
      <w:r w:rsidRPr="00C05330">
        <w:t>, et al. Ultrahigh Mass Activity for Carbon Dioxide Reduction Enabled by Gold−Iron Core−Shell Nanoparticles. J. Am. Chem. Soc. 2017, 139, 15608-15611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Wei Gao, Sam Emaminejad, Hnin Yin Yin Nyein, et al. Fully integrated wearable sensor arrays for multiplexed in situ perspiration analysis. Nature 2016, 529:509-526</w:t>
      </w:r>
    </w:p>
    <w:p w:rsidR="00144677" w:rsidRPr="00C05330" w:rsidRDefault="00144677"/>
    <w:p w:rsidR="00144677" w:rsidRPr="00C05330" w:rsidRDefault="008C53A8">
      <w:r w:rsidRPr="00C05330">
        <w:rPr>
          <w:rFonts w:hint="eastAsia"/>
        </w:rPr>
        <w:t>高分子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T</w:t>
      </w:r>
      <w:r w:rsidRPr="00C05330">
        <w:rPr>
          <w:rFonts w:hint="eastAsia"/>
        </w:rPr>
        <w:t>.</w:t>
      </w:r>
      <w:r w:rsidRPr="00C05330">
        <w:t xml:space="preserve"> Yokozawa and Y</w:t>
      </w:r>
      <w:r w:rsidRPr="00C05330">
        <w:rPr>
          <w:rFonts w:hint="eastAsia"/>
        </w:rPr>
        <w:t>.</w:t>
      </w:r>
      <w:r w:rsidRPr="00C05330">
        <w:t xml:space="preserve"> Ohta</w:t>
      </w:r>
      <w:r w:rsidRPr="00C05330">
        <w:rPr>
          <w:rFonts w:hint="eastAsia"/>
        </w:rPr>
        <w:t xml:space="preserve">. </w:t>
      </w:r>
      <w:r w:rsidRPr="00C05330">
        <w:t>Transformation of Step-Growth Polymerization into Living Chain-Growth Polymerization</w:t>
      </w:r>
      <w:r w:rsidRPr="00C05330">
        <w:rPr>
          <w:rFonts w:hint="eastAsia"/>
        </w:rPr>
        <w:t xml:space="preserve">. Chemical Review, 116: </w:t>
      </w:r>
      <w:r w:rsidRPr="00C05330">
        <w:t>1950–1968</w:t>
      </w:r>
      <w:r w:rsidRPr="00C05330">
        <w:rPr>
          <w:rFonts w:hint="eastAsia"/>
        </w:rPr>
        <w:t>, 2016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X</w:t>
      </w:r>
      <w:r w:rsidRPr="00C05330">
        <w:rPr>
          <w:rFonts w:hint="eastAsia"/>
        </w:rPr>
        <w:t>.</w:t>
      </w:r>
      <w:r w:rsidRPr="00C05330">
        <w:t xml:space="preserve"> Q</w:t>
      </w:r>
      <w:r w:rsidRPr="00C05330">
        <w:rPr>
          <w:rFonts w:hint="eastAsia"/>
        </w:rPr>
        <w:t>.</w:t>
      </w:r>
      <w:r w:rsidRPr="00C05330">
        <w:t xml:space="preserve"> Cheng</w:t>
      </w:r>
      <w:r w:rsidRPr="00C05330">
        <w:rPr>
          <w:rFonts w:hint="eastAsia"/>
        </w:rPr>
        <w:t xml:space="preserve">, </w:t>
      </w:r>
      <w:r w:rsidRPr="00C05330">
        <w:t>Z</w:t>
      </w:r>
      <w:r w:rsidRPr="00C05330">
        <w:rPr>
          <w:rFonts w:hint="eastAsia"/>
        </w:rPr>
        <w:t>.</w:t>
      </w:r>
      <w:r w:rsidRPr="00C05330">
        <w:t xml:space="preserve"> X</w:t>
      </w:r>
      <w:r w:rsidRPr="00C05330">
        <w:rPr>
          <w:rFonts w:hint="eastAsia"/>
        </w:rPr>
        <w:t>.</w:t>
      </w:r>
      <w:r w:rsidRPr="00C05330">
        <w:t xml:space="preserve"> Wang</w:t>
      </w:r>
      <w:r w:rsidRPr="00C05330">
        <w:rPr>
          <w:rFonts w:hint="eastAsia"/>
        </w:rPr>
        <w:t xml:space="preserve"> and </w:t>
      </w:r>
      <w:r w:rsidRPr="00C05330">
        <w:t>X</w:t>
      </w:r>
      <w:r w:rsidRPr="00C05330">
        <w:rPr>
          <w:rFonts w:hint="eastAsia"/>
        </w:rPr>
        <w:t>.</w:t>
      </w:r>
      <w:r w:rsidRPr="00C05330">
        <w:t xml:space="preserve"> Jiang</w:t>
      </w:r>
      <w:r w:rsidRPr="00C05330">
        <w:rPr>
          <w:rFonts w:hint="eastAsia"/>
        </w:rPr>
        <w:t xml:space="preserve"> et al. </w:t>
      </w:r>
      <w:r w:rsidRPr="00C05330">
        <w:t>Towards sustainable ultrafast molecular-separation membranes: From conventional polymers to emerging materials</w:t>
      </w:r>
      <w:r w:rsidRPr="00C05330">
        <w:rPr>
          <w:rFonts w:hint="eastAsia"/>
        </w:rPr>
        <w:t xml:space="preserve">. </w:t>
      </w:r>
      <w:r w:rsidRPr="00C05330">
        <w:t>Progress in Materials Science</w:t>
      </w:r>
      <w:r w:rsidRPr="00C05330">
        <w:rPr>
          <w:rFonts w:hint="eastAsia"/>
        </w:rPr>
        <w:t>, 92: 258-283, 2018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Stephen Mann</w:t>
      </w:r>
      <w:r w:rsidRPr="00C05330">
        <w:rPr>
          <w:rFonts w:hint="eastAsia"/>
        </w:rPr>
        <w:t>.</w:t>
      </w:r>
      <w:r w:rsidRPr="00C05330">
        <w:t xml:space="preserve"> Life as a Nanoscale Phenomenon</w:t>
      </w:r>
      <w:r w:rsidRPr="00C05330">
        <w:rPr>
          <w:rFonts w:hint="eastAsia"/>
        </w:rPr>
        <w:t>.</w:t>
      </w:r>
      <w:r w:rsidRPr="00C05330">
        <w:t xml:space="preserve"> Angew. Chem. Int. Ed.</w:t>
      </w:r>
      <w:r w:rsidRPr="00C05330">
        <w:rPr>
          <w:rFonts w:hint="eastAsia"/>
        </w:rPr>
        <w:t>,</w:t>
      </w:r>
      <w:r w:rsidRPr="00C05330">
        <w:t xml:space="preserve"> 47</w:t>
      </w:r>
      <w:r w:rsidRPr="00C05330">
        <w:rPr>
          <w:rFonts w:hint="eastAsia"/>
        </w:rPr>
        <w:t>:</w:t>
      </w:r>
      <w:r w:rsidRPr="00C05330">
        <w:t xml:space="preserve"> 5306 – 5320</w:t>
      </w:r>
      <w:r w:rsidRPr="00C05330">
        <w:rPr>
          <w:rFonts w:hint="eastAsia"/>
        </w:rPr>
        <w:t xml:space="preserve">, </w:t>
      </w:r>
      <w:r w:rsidRPr="00C05330">
        <w:t>2008</w:t>
      </w:r>
      <w:r w:rsidRPr="00C05330">
        <w:rPr>
          <w:rFonts w:hint="eastAsia"/>
        </w:rPr>
        <w:t>（超标，但经典）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A</w:t>
      </w:r>
      <w:r w:rsidRPr="00C05330">
        <w:rPr>
          <w:rFonts w:hint="eastAsia"/>
        </w:rPr>
        <w:t>.</w:t>
      </w:r>
      <w:r w:rsidRPr="00C05330">
        <w:t xml:space="preserve"> Ciferri</w:t>
      </w:r>
      <w:r w:rsidRPr="00C05330">
        <w:rPr>
          <w:rFonts w:hint="eastAsia"/>
        </w:rPr>
        <w:t xml:space="preserve">. </w:t>
      </w:r>
      <w:r w:rsidRPr="00C05330">
        <w:t>Translation of Molecular Order to the Macroscopic Level</w:t>
      </w:r>
      <w:r w:rsidRPr="00C05330">
        <w:rPr>
          <w:rFonts w:hint="eastAsia"/>
        </w:rPr>
        <w:t xml:space="preserve">. Chemical Review, 116: </w:t>
      </w:r>
      <w:r w:rsidRPr="00C05330">
        <w:t>1353–1374</w:t>
      </w:r>
      <w:r w:rsidRPr="00C05330">
        <w:rPr>
          <w:rFonts w:hint="eastAsia"/>
        </w:rPr>
        <w:t>, 2016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A</w:t>
      </w:r>
      <w:r w:rsidRPr="00C05330">
        <w:rPr>
          <w:rFonts w:hint="eastAsia"/>
        </w:rPr>
        <w:t>.</w:t>
      </w:r>
      <w:r w:rsidRPr="00C05330">
        <w:t xml:space="preserve"> Gandini, T</w:t>
      </w:r>
      <w:r w:rsidRPr="00C05330">
        <w:rPr>
          <w:rFonts w:hint="eastAsia"/>
        </w:rPr>
        <w:t>.</w:t>
      </w:r>
      <w:r w:rsidRPr="00C05330">
        <w:t xml:space="preserve"> M. Lacerda</w:t>
      </w:r>
      <w:r w:rsidRPr="00C05330">
        <w:rPr>
          <w:rFonts w:hint="eastAsia"/>
        </w:rPr>
        <w:t xml:space="preserve"> and</w:t>
      </w:r>
      <w:r w:rsidRPr="00C05330">
        <w:t xml:space="preserve"> A</w:t>
      </w:r>
      <w:r w:rsidRPr="00C05330">
        <w:rPr>
          <w:rFonts w:hint="eastAsia"/>
        </w:rPr>
        <w:t>.</w:t>
      </w:r>
      <w:r w:rsidRPr="00C05330">
        <w:t xml:space="preserve"> J. F. Carvalho</w:t>
      </w:r>
      <w:r w:rsidRPr="00C05330">
        <w:rPr>
          <w:rFonts w:hint="eastAsia"/>
        </w:rPr>
        <w:t xml:space="preserve"> et al. </w:t>
      </w:r>
      <w:r w:rsidRPr="00C05330">
        <w:t>Progress of Polymers from Renewable Resources: Furans, Vegetable Oils, and Polysaccharides</w:t>
      </w:r>
      <w:r w:rsidRPr="00C05330">
        <w:rPr>
          <w:rFonts w:hint="eastAsia"/>
        </w:rPr>
        <w:t xml:space="preserve">. Chemical Review, 116: </w:t>
      </w:r>
      <w:r w:rsidRPr="00C05330">
        <w:t>1637–1669</w:t>
      </w:r>
      <w:r w:rsidRPr="00C05330">
        <w:rPr>
          <w:rFonts w:hint="eastAsia"/>
        </w:rPr>
        <w:t>, 2016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H</w:t>
      </w:r>
      <w:r w:rsidRPr="00C05330">
        <w:rPr>
          <w:rFonts w:hint="eastAsia"/>
        </w:rPr>
        <w:t>.</w:t>
      </w:r>
      <w:r w:rsidRPr="00C05330">
        <w:t xml:space="preserve"> Abbasi, M</w:t>
      </w:r>
      <w:r w:rsidRPr="00C05330">
        <w:rPr>
          <w:rFonts w:hint="eastAsia"/>
        </w:rPr>
        <w:t>.</w:t>
      </w:r>
      <w:r w:rsidRPr="00C05330">
        <w:t xml:space="preserve"> Antunes</w:t>
      </w:r>
      <w:r w:rsidRPr="00C05330">
        <w:rPr>
          <w:rFonts w:hint="eastAsia"/>
        </w:rPr>
        <w:t xml:space="preserve"> and</w:t>
      </w:r>
      <w:r w:rsidRPr="00C05330">
        <w:t xml:space="preserve"> J</w:t>
      </w:r>
      <w:r w:rsidRPr="00C05330">
        <w:rPr>
          <w:rFonts w:hint="eastAsia"/>
        </w:rPr>
        <w:t>.</w:t>
      </w:r>
      <w:r w:rsidRPr="00C05330">
        <w:t xml:space="preserve"> I</w:t>
      </w:r>
      <w:r w:rsidRPr="00C05330">
        <w:rPr>
          <w:rFonts w:hint="eastAsia"/>
        </w:rPr>
        <w:t>.</w:t>
      </w:r>
      <w:r w:rsidRPr="00C05330">
        <w:t xml:space="preserve"> Velasco</w:t>
      </w:r>
      <w:r w:rsidRPr="00C05330">
        <w:rPr>
          <w:rFonts w:hint="eastAsia"/>
        </w:rPr>
        <w:t xml:space="preserve">. </w:t>
      </w:r>
      <w:r w:rsidRPr="00C05330">
        <w:t xml:space="preserve">Recent advances in carbon-based polymer </w:t>
      </w:r>
      <w:r w:rsidRPr="00C05330">
        <w:lastRenderedPageBreak/>
        <w:t>nanocomposites for electromagnetic interference shielding</w:t>
      </w:r>
      <w:r w:rsidRPr="00C05330">
        <w:rPr>
          <w:rFonts w:hint="eastAsia"/>
        </w:rPr>
        <w:t xml:space="preserve">. </w:t>
      </w:r>
      <w:r w:rsidRPr="00C05330">
        <w:t>Progress in Materials Science</w:t>
      </w:r>
      <w:r w:rsidRPr="00C05330">
        <w:rPr>
          <w:rFonts w:hint="eastAsia"/>
        </w:rPr>
        <w:t xml:space="preserve">, 103: </w:t>
      </w:r>
      <w:r w:rsidRPr="00C05330">
        <w:t>319-373</w:t>
      </w:r>
      <w:r w:rsidRPr="00C05330">
        <w:rPr>
          <w:rFonts w:hint="eastAsia"/>
        </w:rPr>
        <w:t>, 2019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Z</w:t>
      </w:r>
      <w:r w:rsidRPr="00C05330">
        <w:rPr>
          <w:rFonts w:hint="eastAsia"/>
        </w:rPr>
        <w:t>.</w:t>
      </w:r>
      <w:r w:rsidRPr="00C05330">
        <w:t xml:space="preserve"> Li,</w:t>
      </w:r>
      <w:r w:rsidRPr="00C05330">
        <w:rPr>
          <w:rFonts w:hint="eastAsia"/>
        </w:rPr>
        <w:t xml:space="preserve"> </w:t>
      </w:r>
      <w:r w:rsidRPr="00C05330">
        <w:t>L</w:t>
      </w:r>
      <w:r w:rsidRPr="00C05330">
        <w:rPr>
          <w:rFonts w:hint="eastAsia"/>
        </w:rPr>
        <w:t>.</w:t>
      </w:r>
      <w:r w:rsidRPr="00C05330">
        <w:t xml:space="preserve"> Wang</w:t>
      </w:r>
      <w:r w:rsidRPr="00C05330">
        <w:rPr>
          <w:rFonts w:hint="eastAsia"/>
        </w:rPr>
        <w:t xml:space="preserve"> and </w:t>
      </w:r>
      <w:r w:rsidRPr="00C05330">
        <w:t>Y</w:t>
      </w:r>
      <w:r w:rsidRPr="00C05330">
        <w:rPr>
          <w:rFonts w:hint="eastAsia"/>
        </w:rPr>
        <w:t>.</w:t>
      </w:r>
      <w:r w:rsidRPr="00C05330">
        <w:t xml:space="preserve"> Li</w:t>
      </w:r>
      <w:r w:rsidRPr="00C05330">
        <w:rPr>
          <w:rFonts w:hint="eastAsia"/>
        </w:rPr>
        <w:t xml:space="preserve"> et al.</w:t>
      </w:r>
      <w:r w:rsidRPr="00C05330">
        <w:t xml:space="preserve"> Carbon-based functional nanomaterials: Preparation, properties and applications</w:t>
      </w:r>
      <w:r w:rsidRPr="00C05330">
        <w:rPr>
          <w:rFonts w:hint="eastAsia"/>
        </w:rPr>
        <w:t xml:space="preserve">. </w:t>
      </w:r>
      <w:r w:rsidRPr="00C05330">
        <w:t>Composites Science and Technology,</w:t>
      </w:r>
      <w:r w:rsidRPr="00C05330">
        <w:rPr>
          <w:rFonts w:hint="eastAsia"/>
        </w:rPr>
        <w:t xml:space="preserve"> </w:t>
      </w:r>
      <w:r w:rsidRPr="00C05330">
        <w:t>179</w:t>
      </w:r>
      <w:r w:rsidRPr="00C05330">
        <w:rPr>
          <w:rFonts w:hint="eastAsia"/>
        </w:rPr>
        <w:t xml:space="preserve">: </w:t>
      </w:r>
      <w:r w:rsidRPr="00C05330">
        <w:t>10-40</w:t>
      </w:r>
      <w:r w:rsidRPr="00C05330">
        <w:rPr>
          <w:rFonts w:hint="eastAsia"/>
        </w:rPr>
        <w:t>, 2019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C</w:t>
      </w:r>
      <w:r w:rsidRPr="00C05330">
        <w:rPr>
          <w:rFonts w:hint="eastAsia"/>
        </w:rPr>
        <w:t>.</w:t>
      </w:r>
      <w:r w:rsidRPr="00C05330">
        <w:t xml:space="preserve"> Pramanik, D</w:t>
      </w:r>
      <w:r w:rsidRPr="00C05330">
        <w:rPr>
          <w:rFonts w:hint="eastAsia"/>
        </w:rPr>
        <w:t>.</w:t>
      </w:r>
      <w:r w:rsidRPr="00C05330">
        <w:t xml:space="preserve"> Nepal</w:t>
      </w:r>
      <w:r w:rsidRPr="00C05330">
        <w:rPr>
          <w:rFonts w:hint="eastAsia"/>
        </w:rPr>
        <w:t xml:space="preserve"> and</w:t>
      </w:r>
      <w:r w:rsidRPr="00C05330">
        <w:t xml:space="preserve"> M</w:t>
      </w:r>
      <w:r w:rsidRPr="00C05330">
        <w:rPr>
          <w:rFonts w:hint="eastAsia"/>
        </w:rPr>
        <w:t>.</w:t>
      </w:r>
      <w:r w:rsidRPr="00C05330">
        <w:t xml:space="preserve"> Nathanson</w:t>
      </w:r>
      <w:r w:rsidRPr="00C05330">
        <w:rPr>
          <w:rFonts w:hint="eastAsia"/>
        </w:rPr>
        <w:t xml:space="preserve"> et al. </w:t>
      </w:r>
      <w:r w:rsidRPr="00C05330">
        <w:t>Molecular engineering of interphases in polymer/carbon nanotube composites to reach the limits of mechanical performance</w:t>
      </w:r>
      <w:r w:rsidRPr="00C05330">
        <w:rPr>
          <w:rFonts w:hint="eastAsia"/>
        </w:rPr>
        <w:t xml:space="preserve">. </w:t>
      </w:r>
      <w:r w:rsidRPr="00C05330">
        <w:t>Composites Science and Technology,</w:t>
      </w:r>
      <w:r w:rsidRPr="00C05330">
        <w:rPr>
          <w:rFonts w:hint="eastAsia"/>
        </w:rPr>
        <w:t xml:space="preserve"> 166: 84-96, 2018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L</w:t>
      </w:r>
      <w:r w:rsidRPr="00C05330">
        <w:rPr>
          <w:rFonts w:hint="eastAsia"/>
        </w:rPr>
        <w:t>.</w:t>
      </w:r>
      <w:r w:rsidRPr="00C05330">
        <w:t xml:space="preserve"> Liu, C</w:t>
      </w:r>
      <w:r w:rsidRPr="00C05330">
        <w:rPr>
          <w:rFonts w:hint="eastAsia"/>
        </w:rPr>
        <w:t>.</w:t>
      </w:r>
      <w:r w:rsidRPr="00C05330">
        <w:t xml:space="preserve"> Jia, J</w:t>
      </w:r>
      <w:r w:rsidRPr="00C05330">
        <w:rPr>
          <w:rFonts w:hint="eastAsia"/>
        </w:rPr>
        <w:t>.</w:t>
      </w:r>
      <w:r w:rsidRPr="00C05330">
        <w:t xml:space="preserve"> He</w:t>
      </w:r>
      <w:r w:rsidRPr="00C05330">
        <w:rPr>
          <w:rFonts w:hint="eastAsia"/>
        </w:rPr>
        <w:t xml:space="preserve"> et al. </w:t>
      </w:r>
      <w:r w:rsidRPr="00C05330">
        <w:t>Interfacial characterization, control and modification of carbon fiber reinforced polymer composites</w:t>
      </w:r>
      <w:r w:rsidRPr="00C05330">
        <w:rPr>
          <w:rFonts w:hint="eastAsia"/>
        </w:rPr>
        <w:t xml:space="preserve">. </w:t>
      </w:r>
      <w:r w:rsidRPr="00C05330">
        <w:t>Composites Science and Technology,</w:t>
      </w:r>
      <w:r w:rsidRPr="00C05330">
        <w:rPr>
          <w:rFonts w:hint="eastAsia"/>
        </w:rPr>
        <w:t xml:space="preserve"> 121: 56-72, 2015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J</w:t>
      </w:r>
      <w:r w:rsidRPr="00C05330">
        <w:rPr>
          <w:rFonts w:hint="eastAsia"/>
        </w:rPr>
        <w:t>.</w:t>
      </w:r>
      <w:r w:rsidRPr="00C05330">
        <w:t xml:space="preserve"> Karger-Kocsis, H</w:t>
      </w:r>
      <w:r w:rsidRPr="00C05330">
        <w:rPr>
          <w:rFonts w:hint="eastAsia"/>
        </w:rPr>
        <w:t>.</w:t>
      </w:r>
      <w:r w:rsidRPr="00C05330">
        <w:t xml:space="preserve"> Mahmood</w:t>
      </w:r>
      <w:r w:rsidRPr="00C05330">
        <w:rPr>
          <w:rFonts w:hint="eastAsia"/>
        </w:rPr>
        <w:t xml:space="preserve"> and </w:t>
      </w:r>
      <w:r w:rsidRPr="00C05330">
        <w:t>A</w:t>
      </w:r>
      <w:r w:rsidRPr="00C05330">
        <w:rPr>
          <w:rFonts w:hint="eastAsia"/>
        </w:rPr>
        <w:t>.</w:t>
      </w:r>
      <w:r w:rsidRPr="00C05330">
        <w:t xml:space="preserve"> Pegoretti</w:t>
      </w:r>
      <w:r w:rsidRPr="00C05330">
        <w:rPr>
          <w:rFonts w:hint="eastAsia"/>
        </w:rPr>
        <w:t xml:space="preserve">. </w:t>
      </w:r>
      <w:r w:rsidRPr="00C05330">
        <w:t>Recent advances in fiber/matrix interphase engineering for polymer composites</w:t>
      </w:r>
      <w:r w:rsidRPr="00C05330">
        <w:rPr>
          <w:rFonts w:hint="eastAsia"/>
        </w:rPr>
        <w:t xml:space="preserve">. </w:t>
      </w:r>
      <w:r w:rsidRPr="00C05330">
        <w:t>Progress in Materials Science,</w:t>
      </w:r>
      <w:r w:rsidRPr="00C05330">
        <w:rPr>
          <w:rFonts w:hint="eastAsia"/>
        </w:rPr>
        <w:t xml:space="preserve"> 73</w:t>
      </w:r>
      <w:r w:rsidRPr="00C05330">
        <w:t xml:space="preserve">: </w:t>
      </w:r>
      <w:r w:rsidRPr="00C05330">
        <w:rPr>
          <w:rFonts w:hint="eastAsia"/>
        </w:rPr>
        <w:t>1-43, 2015</w:t>
      </w:r>
    </w:p>
    <w:p w:rsidR="00144677" w:rsidRPr="00C05330" w:rsidRDefault="008C53A8">
      <w:r w:rsidRPr="00C05330">
        <w:rPr>
          <w:rFonts w:hint="eastAsia"/>
        </w:rPr>
        <w:t>材料</w:t>
      </w:r>
      <w:r w:rsidRPr="00C05330">
        <w:t>化学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B. Kang , G. Ceder, Battery materials for ultrafast charging and discharging [J], Nature, 2009, 458: 190-193.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 xml:space="preserve">H. G. Yang, C. H. Sun, S. Z. Qiao, Anatase TiO2 single crystals with a large percentage of reactive facets[J]. Nature, 2008, 453(7195): 638-641. 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孙世刚，陈胜利，《电化学丛书</w:t>
      </w:r>
      <w:r w:rsidRPr="00C05330">
        <w:t>:</w:t>
      </w:r>
      <w:r w:rsidRPr="00C05330">
        <w:t>电催化》</w:t>
      </w:r>
      <w:r w:rsidRPr="00C05330">
        <w:t>[M]</w:t>
      </w:r>
      <w:r w:rsidRPr="00C05330">
        <w:t>，化学工业出版社</w:t>
      </w:r>
      <w:r w:rsidRPr="00C05330">
        <w:t>, 2013</w:t>
      </w:r>
      <w:r w:rsidRPr="00C05330">
        <w:t>年</w:t>
      </w:r>
      <w:r w:rsidRPr="00C05330">
        <w:t>11</w:t>
      </w:r>
      <w:r w:rsidRPr="00C05330">
        <w:t>月</w:t>
      </w:r>
      <w:r w:rsidRPr="00C05330">
        <w:t>1</w:t>
      </w:r>
      <w:r w:rsidRPr="00C05330">
        <w:t>日</w:t>
      </w:r>
      <w:r w:rsidRPr="00C05330">
        <w:t>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Y.</w:t>
      </w:r>
      <w:r w:rsidRPr="00C05330">
        <w:rPr>
          <w:rFonts w:hint="eastAsia"/>
        </w:rPr>
        <w:t xml:space="preserve"> </w:t>
      </w:r>
      <w:r w:rsidRPr="00C05330">
        <w:t>Xie, Y.</w:t>
      </w:r>
      <w:r w:rsidRPr="00C05330">
        <w:rPr>
          <w:rFonts w:hint="eastAsia"/>
        </w:rPr>
        <w:t xml:space="preserve"> </w:t>
      </w:r>
      <w:r w:rsidRPr="00C05330">
        <w:t>Qian, W. Wang, S.</w:t>
      </w:r>
      <w:r w:rsidRPr="00C05330">
        <w:rPr>
          <w:rFonts w:hint="eastAsia"/>
        </w:rPr>
        <w:t xml:space="preserve"> </w:t>
      </w:r>
      <w:r w:rsidRPr="00C05330">
        <w:t>Zhang, Y.</w:t>
      </w:r>
      <w:r w:rsidRPr="00C05330">
        <w:rPr>
          <w:rFonts w:hint="eastAsia"/>
        </w:rPr>
        <w:t xml:space="preserve"> </w:t>
      </w:r>
      <w:r w:rsidRPr="00C05330">
        <w:t>Zhang, A Benzene-</w:t>
      </w:r>
      <w:r w:rsidRPr="00C05330">
        <w:rPr>
          <w:rFonts w:hint="eastAsia"/>
        </w:rPr>
        <w:t>t</w:t>
      </w:r>
      <w:r w:rsidRPr="00C05330">
        <w:t xml:space="preserve">hermal </w:t>
      </w:r>
      <w:r w:rsidRPr="00C05330">
        <w:rPr>
          <w:rFonts w:hint="eastAsia"/>
        </w:rPr>
        <w:t>s</w:t>
      </w:r>
      <w:r w:rsidRPr="00C05330">
        <w:t xml:space="preserve">ynthetic </w:t>
      </w:r>
      <w:r w:rsidRPr="00C05330">
        <w:rPr>
          <w:rFonts w:hint="eastAsia"/>
        </w:rPr>
        <w:t>r</w:t>
      </w:r>
      <w:r w:rsidRPr="00C05330">
        <w:t xml:space="preserve">oute to </w:t>
      </w:r>
      <w:r w:rsidRPr="00C05330">
        <w:rPr>
          <w:rFonts w:hint="eastAsia"/>
        </w:rPr>
        <w:t>n</w:t>
      </w:r>
      <w:r w:rsidRPr="00C05330">
        <w:t>anocrystalline GaN. Science</w:t>
      </w:r>
      <w:r w:rsidRPr="00C05330">
        <w:rPr>
          <w:rFonts w:hint="eastAsia"/>
        </w:rPr>
        <w:t>,</w:t>
      </w:r>
      <w:r w:rsidRPr="00C05330">
        <w:t xml:space="preserve"> 1996, 272 (5270)</w:t>
      </w:r>
      <w:r w:rsidRPr="00C05330">
        <w:rPr>
          <w:rFonts w:hint="eastAsia"/>
        </w:rPr>
        <w:t>:</w:t>
      </w:r>
      <w:r w:rsidRPr="00C05330">
        <w:t>1926-1927</w:t>
      </w:r>
      <w:r w:rsidRPr="00C05330">
        <w:rPr>
          <w:rFonts w:hint="eastAsia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F</w:t>
      </w:r>
      <w:r w:rsidRPr="00C05330">
        <w:rPr>
          <w:rFonts w:hint="eastAsia"/>
        </w:rPr>
        <w:t>.</w:t>
      </w:r>
      <w:r w:rsidRPr="00C05330">
        <w:t xml:space="preserve"> Caruso, R</w:t>
      </w:r>
      <w:r w:rsidRPr="00C05330">
        <w:rPr>
          <w:rFonts w:hint="eastAsia"/>
        </w:rPr>
        <w:t xml:space="preserve">. </w:t>
      </w:r>
      <w:r w:rsidRPr="00C05330">
        <w:t>A</w:t>
      </w:r>
      <w:r w:rsidRPr="00C05330">
        <w:rPr>
          <w:rFonts w:hint="eastAsia"/>
        </w:rPr>
        <w:t>.</w:t>
      </w:r>
      <w:r w:rsidRPr="00C05330">
        <w:t xml:space="preserve"> Caruso, H.</w:t>
      </w:r>
      <w:r w:rsidRPr="00C05330">
        <w:rPr>
          <w:rFonts w:hint="eastAsia"/>
        </w:rPr>
        <w:t xml:space="preserve"> </w:t>
      </w:r>
      <w:r w:rsidRPr="00C05330">
        <w:t>Mohwald</w:t>
      </w:r>
      <w:r w:rsidRPr="00C05330">
        <w:rPr>
          <w:rFonts w:hint="eastAsia"/>
        </w:rPr>
        <w:t xml:space="preserve">, </w:t>
      </w:r>
      <w:r w:rsidRPr="00C05330">
        <w:t>Nanoengineering of inorganic and hybrid hollow spheres by colloidal templating</w:t>
      </w:r>
      <w:r w:rsidRPr="00C05330">
        <w:rPr>
          <w:rFonts w:hint="eastAsia"/>
        </w:rPr>
        <w:t xml:space="preserve">, </w:t>
      </w:r>
      <w:r w:rsidRPr="00C05330">
        <w:t>Science</w:t>
      </w:r>
      <w:r w:rsidRPr="00C05330">
        <w:rPr>
          <w:rFonts w:hint="eastAsia"/>
        </w:rPr>
        <w:t>,</w:t>
      </w:r>
      <w:r w:rsidRPr="00C05330">
        <w:t xml:space="preserve"> 1998</w:t>
      </w:r>
      <w:r w:rsidRPr="00C05330">
        <w:rPr>
          <w:rFonts w:hint="eastAsia"/>
        </w:rPr>
        <w:t xml:space="preserve">, </w:t>
      </w:r>
      <w:r w:rsidRPr="00C05330">
        <w:t xml:space="preserve">282(5391):1111-4. </w:t>
      </w:r>
    </w:p>
    <w:p w:rsidR="00144677" w:rsidRPr="00C05330" w:rsidRDefault="008C53A8">
      <w:r w:rsidRPr="00C05330">
        <w:rPr>
          <w:rFonts w:hint="eastAsia"/>
        </w:rPr>
        <w:t>化学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 xml:space="preserve">“Research Perspectives during 40 years of the Journal of Catalysis”, </w:t>
      </w:r>
      <w:r w:rsidRPr="00C05330">
        <w:rPr>
          <w:rFonts w:hint="eastAsia"/>
        </w:rPr>
        <w:t>Journal</w:t>
      </w:r>
      <w:r w:rsidRPr="00C05330">
        <w:t xml:space="preserve"> of Catalysis, Volume216, Issues 1-2, May-June 2003, Page 2-11. 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rPr>
          <w:rFonts w:hint="eastAsia"/>
        </w:rPr>
        <w:t>“</w:t>
      </w:r>
      <w:r w:rsidRPr="00C05330">
        <w:t xml:space="preserve">With Computers from Atoms to Macromolecular Systems </w:t>
      </w:r>
      <w:r w:rsidRPr="00C05330">
        <w:rPr>
          <w:rFonts w:hint="eastAsia"/>
        </w:rPr>
        <w:t>(</w:t>
      </w:r>
      <w:r w:rsidRPr="00C05330">
        <w:rPr>
          <w:rFonts w:hint="eastAsia"/>
        </w:rPr>
        <w:t>从原子到大分子体系的计算机模拟</w:t>
      </w:r>
      <w:r w:rsidRPr="00C05330">
        <w:rPr>
          <w:rFonts w:hint="eastAsia"/>
        </w:rPr>
        <w:t>)</w:t>
      </w:r>
      <w:r w:rsidRPr="00C05330">
        <w:rPr>
          <w:rFonts w:hint="eastAsia"/>
        </w:rPr>
        <w:t>”</w:t>
      </w:r>
      <w:r w:rsidRPr="00C05330">
        <w:rPr>
          <w:rFonts w:hint="eastAsia"/>
        </w:rPr>
        <w:t>,</w:t>
      </w:r>
      <w:r w:rsidRPr="00C05330">
        <w:t xml:space="preserve"> Enrico Clementi, Giorgina Corongiu, </w:t>
      </w:r>
      <w:r w:rsidRPr="00C05330">
        <w:rPr>
          <w:rFonts w:hint="eastAsia"/>
        </w:rPr>
        <w:t>Progress</w:t>
      </w:r>
      <w:r w:rsidRPr="00C05330">
        <w:t xml:space="preserve"> </w:t>
      </w:r>
      <w:r w:rsidRPr="00C05330">
        <w:rPr>
          <w:rFonts w:hint="eastAsia"/>
        </w:rPr>
        <w:t>in</w:t>
      </w:r>
      <w:r w:rsidRPr="00C05330">
        <w:t xml:space="preserve"> </w:t>
      </w:r>
      <w:r w:rsidRPr="00C05330">
        <w:rPr>
          <w:rFonts w:hint="eastAsia"/>
        </w:rPr>
        <w:t>Chemistry</w:t>
      </w:r>
      <w:r w:rsidRPr="00C05330">
        <w:rPr>
          <w:rFonts w:hint="eastAsia"/>
        </w:rPr>
        <w:t>（化学进展）</w:t>
      </w:r>
      <w:r w:rsidRPr="00C05330">
        <w:rPr>
          <w:rFonts w:hint="eastAsia"/>
        </w:rPr>
        <w:t>2</w:t>
      </w:r>
      <w:r w:rsidRPr="00C05330">
        <w:t>011, Vol.23, Issues 9,1795-1830. (</w:t>
      </w:r>
      <w:r w:rsidRPr="00C05330">
        <w:rPr>
          <w:rFonts w:hint="eastAsia"/>
        </w:rPr>
        <w:t>第</w:t>
      </w:r>
      <w:r w:rsidRPr="00C05330">
        <w:rPr>
          <w:rFonts w:hint="eastAsia"/>
        </w:rPr>
        <w:t>23</w:t>
      </w:r>
      <w:r w:rsidRPr="00C05330">
        <w:rPr>
          <w:rFonts w:hint="eastAsia"/>
        </w:rPr>
        <w:t>卷第</w:t>
      </w:r>
      <w:r w:rsidRPr="00C05330">
        <w:rPr>
          <w:rFonts w:hint="eastAsia"/>
        </w:rPr>
        <w:t>9</w:t>
      </w:r>
      <w:r w:rsidRPr="00C05330">
        <w:rPr>
          <w:rFonts w:hint="eastAsia"/>
        </w:rPr>
        <w:t>期</w:t>
      </w:r>
      <w:r w:rsidRPr="00C05330">
        <w:rPr>
          <w:rFonts w:hint="eastAsia"/>
        </w:rPr>
        <w:t>1</w:t>
      </w:r>
      <w:r w:rsidRPr="00C05330">
        <w:t>795-1830</w:t>
      </w:r>
      <w:r w:rsidRPr="00C05330">
        <w:rPr>
          <w:rFonts w:hint="eastAsia"/>
        </w:rPr>
        <w:t>，</w:t>
      </w:r>
      <w:r w:rsidRPr="00C05330">
        <w:rPr>
          <w:rFonts w:hint="eastAsia"/>
        </w:rPr>
        <w:t>2011</w:t>
      </w:r>
      <w:r w:rsidRPr="00C05330">
        <w:rPr>
          <w:rFonts w:hint="eastAsia"/>
        </w:rPr>
        <w:t>年</w:t>
      </w:r>
      <w:r w:rsidRPr="00C05330">
        <w:rPr>
          <w:rFonts w:hint="eastAsia"/>
        </w:rPr>
        <w:t>9</w:t>
      </w:r>
      <w:r w:rsidRPr="00C05330">
        <w:rPr>
          <w:rFonts w:hint="eastAsia"/>
        </w:rPr>
        <w:t>月</w:t>
      </w:r>
      <w:r w:rsidRPr="00C05330">
        <w:rPr>
          <w:rFonts w:hint="eastAsia"/>
        </w:rPr>
        <w:t>)</w:t>
      </w:r>
      <w:r w:rsidRPr="00C05330">
        <w:t>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 xml:space="preserve">“The role </w:t>
      </w:r>
      <w:r w:rsidRPr="00C05330">
        <w:rPr>
          <w:rFonts w:hint="eastAsia"/>
        </w:rPr>
        <w:t>o</w:t>
      </w:r>
      <w:r w:rsidRPr="00C05330">
        <w:t>f analytical chemistry in exposure science: Focus on the aquatic environment”, Chemosphere, 2019, 222, 564-583.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rPr>
          <w:rFonts w:hint="eastAsia"/>
        </w:rPr>
        <w:t>“</w:t>
      </w:r>
      <w:r w:rsidRPr="00C05330">
        <w:t>Photoredox functionalization of C-H bonds adjacent to a nitrogen atom.</w:t>
      </w:r>
      <w:r w:rsidRPr="00C05330">
        <w:rPr>
          <w:rFonts w:hint="eastAsia"/>
        </w:rPr>
        <w:t>”</w:t>
      </w:r>
      <w:r w:rsidRPr="00C05330">
        <w:t xml:space="preserve"> Chem. Soc. Rev.</w:t>
      </w:r>
      <w:r w:rsidRPr="00C05330">
        <w:rPr>
          <w:rFonts w:hint="eastAsia"/>
        </w:rPr>
        <w:t>，</w:t>
      </w:r>
      <w:r w:rsidRPr="00C05330">
        <w:t>Shi, L.; Xia, W., 2012, 41 (23), 7687-97.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</w:pPr>
      <w:r w:rsidRPr="00C05330">
        <w:t> “Decarboxylative sp3 C–N coupling via dual copper and photoredox catalysis</w:t>
      </w:r>
      <w:r w:rsidRPr="00C05330">
        <w:rPr>
          <w:rFonts w:hint="eastAsia"/>
        </w:rPr>
        <w:t>,</w:t>
      </w:r>
      <w:r w:rsidRPr="00C05330">
        <w:t>” Liang, Y.; Zhang, X.; MacMillan, D. W. C., Nature  2018, 559 (7712), 83-88</w:t>
      </w:r>
    </w:p>
    <w:p w:rsidR="00144677" w:rsidRPr="00C05330" w:rsidRDefault="008C53A8">
      <w:r w:rsidRPr="00C05330">
        <w:rPr>
          <w:rFonts w:hint="eastAsia"/>
        </w:rPr>
        <w:t>应用化学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M. Saliba, T. Matsui, J.Y. Seo, K. Domanski, J.P. Correa-Baena, M.K. Nazeeruddin, S.M. Zakeeruddin, W. Tress, A. Abate, A. Hagfeldt, M. Gratzel, Cesium-containing triple cation perovskite solar cells: improved stability, reproducibility and high efficiency. Energy Environ Sci, 2016, 9(6):1989-1997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S. Ye, H. Rao, Z. Zhao, L. Zhang, H. Bao, W. Sun, Y. Li, F. Gu, J. Wang, Z. Liu, Z. Bian, C. Huang, A breakthrough efficiency of 19.9% obtained in inverted perovskite solar cells by using an efficient trap state passivator Cu(thiourea)I. J Am Chem Soc, 2017, 139(22):7504-7512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 xml:space="preserve">Y. Tu, X. Yang, R. Su, D. Luo, Y. Cao, L. Zhao, T. Liu, W. Yang, Y. Zhang, Z. Xu, Q. Liu, J. Wu, Q. Gong, F. Mo, R. Zhu, Diboron-assisted interfacial defect control strategy for highly </w:t>
      </w:r>
      <w:r w:rsidRPr="00C05330">
        <w:rPr>
          <w:rFonts w:cstheme="minorHAnsi"/>
          <w:szCs w:val="21"/>
        </w:rPr>
        <w:lastRenderedPageBreak/>
        <w:t>efficient planar perovskite solar cells. Adv Mater, 2018, 30 (49):1805085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H. Tan, A. Jain, O. Voznyy, X. Lan, F.P.G. de Arquer, J.Z. Fan, R. Quintero-Bermudez, M. Yuan, B. Zhang, Y. Zhao, F. Fan, P. Li, L.N. Quan, Y. Zhao, Z.H. Lu, Efficient and stable solution-processed planar perovskite solar cells via contact passivation. Science, 2017, 355 (6326):722-726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kern w:val="0"/>
          <w:szCs w:val="21"/>
        </w:rPr>
        <w:t>J. Liang, Z. Liang, R. Zou, Y. Zhao, Heterogeneous catalysis in zeolites, mesoporous silica, and metal-organic frameworks, Adv. Mater. 2017, 29(30): 1701139.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M. Dong, M. Zhao, S. Ou, C. Zou, C.Wu, A Luminescent Dye@MOF Platform: Emission Fingerprint Relationships of Volatile Organic Molecules. Angew. Chem. Int. Ed. 2014, 53, 1575 –1579.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X. Xu, B. Yan, Intelligent Molecular Searcher from Logic Computing Network Based on Eu(III) Functionalized UMOFs for Environmental Monitoring. Adv. Funct. Mater. 2017, 27, 1700247-1700258.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N. Du, J. Song, S. Li, Y. Chi, F. Bai, Y. Xing, A Highly Stable 3D Luminescent Indium−Polycarboxylic Framework for the Turn-off Detection of UO22+,Ru3+, and Biomolecule Thiamines. ACS Appl. Mater. Interfaces 2016, 8, 28718-28726.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J. M. Slocik, C. A. Crouse, J. E. Spowart, R. R. Naik, Biologically tunable reactivity of energetic nanomaterials using protein cages. Nano Lett. 2013, 13:2535−2540.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H. Wang, R. J. Jacob, J. B. DeLisio, M. R. Zachariah, Assembly and encapsulation of aluminum NP’s within AP/NC matrix and their reactive properties, Combustion and Flame, 2017, 180:175–183.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X. Jin, V. Balasubramanian, T. Selvan, et al. Highly ordered mesoporous carbon nitride nanoparticles with high nitrogen content: a metal‐free basic catalyst. Angewandte Chemie International Edition, 2009, 48(42): 7884-7887.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A. Vinu, K Ariga, T. Mori, et al. Preparation and characterization of well‐ordered hexagonal mesoporous carbon nitride. Advanced materials, 2005, 17(13): 1648-1652.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J. Senker, K. Schwinghammer, B. Lostch, et al. Crystalline carbon nitride nanosheets for improved visible-light hydrogen evolution. Journal of the American Chemical Society, 2014, 136(5): 1730-1733.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F. M. Zhang, J. L. Sheng, Z. D. Yang, X. J. Sun, H. L. Tang, M. Lu, H. Dong, F. C. Shen, J. Liu, and Y. Q. Lan</w:t>
      </w:r>
      <w:r w:rsidRPr="00C05330">
        <w:rPr>
          <w:rFonts w:cstheme="minorHAnsi"/>
          <w:szCs w:val="21"/>
        </w:rPr>
        <w:t>，</w:t>
      </w:r>
      <w:r w:rsidRPr="00C05330">
        <w:rPr>
          <w:rFonts w:cstheme="minorHAnsi"/>
          <w:szCs w:val="21"/>
        </w:rPr>
        <w:t>Rational Design of MOF/COF Hybrid Materials for Photocatalytic H2 Evolution in the Presence of Sacrificial Electron Donors. Angew. Chem. Int. Ed. 2018, 57, 12106–12110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C. Lee, X. Wei, J. Kysar, J. Hone, Measurement of the elastic properties and intrinsic strength of monolayer graphene. Science, 2008, 321 (5887): 385-388.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K. Kelly, E. Coronado, L. Zhao, G. Schatz, The optical properties of metal nanoparticles: The influence of size, shape, and dielectric environment, J. Phys. Chem. B, 2003, 107 (3): 668-677.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M. Gratzel, Photoelectrochemical cells, Nature, 2001, 414 (6861): 338-344.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rFonts w:cstheme="minorHAnsi"/>
          <w:szCs w:val="21"/>
        </w:rPr>
        <w:t>M. Stoller, S. Park, Y. Zhu, J. An, R. Ruoff, Graphene-Based Ultracapacitors, Nano Letters, 2008, 8 (10): 3498-3502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t xml:space="preserve">M. Moliner, C. Martinez, A. Corma, Multipore zeolites: synthesis and catalytic applications, </w:t>
      </w:r>
      <w:r w:rsidRPr="00C05330">
        <w:rPr>
          <w:rFonts w:cstheme="minorHAnsi"/>
          <w:szCs w:val="21"/>
        </w:rPr>
        <w:t>Angew. Chem. Int. Ed. 2015, 54(12): 3560-3579.</w:t>
      </w:r>
    </w:p>
    <w:p w:rsidR="00144677" w:rsidRPr="00C05330" w:rsidRDefault="008C53A8">
      <w:pPr>
        <w:pStyle w:val="af4"/>
        <w:numPr>
          <w:ilvl w:val="0"/>
          <w:numId w:val="2"/>
        </w:numPr>
        <w:ind w:firstLineChars="0"/>
        <w:rPr>
          <w:rFonts w:cstheme="minorHAnsi"/>
          <w:szCs w:val="21"/>
        </w:rPr>
      </w:pPr>
      <w:r w:rsidRPr="00C05330">
        <w:rPr>
          <w:kern w:val="0"/>
          <w:szCs w:val="21"/>
        </w:rPr>
        <w:t xml:space="preserve">B. Lebeau, A. Galarneau, M. Linden, </w:t>
      </w:r>
      <w:r w:rsidRPr="00C05330">
        <w:rPr>
          <w:rFonts w:eastAsia="AdvOTfb668818.B"/>
          <w:kern w:val="0"/>
          <w:szCs w:val="21"/>
        </w:rPr>
        <w:t>Introduction for 20 years of research on ordered</w:t>
      </w:r>
      <w:r w:rsidRPr="00C05330">
        <w:rPr>
          <w:rFonts w:eastAsia="AdvOTfb668818.B" w:hint="eastAsia"/>
          <w:kern w:val="0"/>
          <w:szCs w:val="21"/>
        </w:rPr>
        <w:t xml:space="preserve"> </w:t>
      </w:r>
      <w:r w:rsidRPr="00C05330">
        <w:rPr>
          <w:rFonts w:eastAsia="AdvOTfb668818.B"/>
          <w:kern w:val="0"/>
          <w:szCs w:val="21"/>
        </w:rPr>
        <w:lastRenderedPageBreak/>
        <w:t xml:space="preserve">mesoporous materials, </w:t>
      </w:r>
      <w:r w:rsidRPr="00C05330">
        <w:rPr>
          <w:kern w:val="0"/>
          <w:szCs w:val="21"/>
        </w:rPr>
        <w:t>Chem</w:t>
      </w:r>
      <w:r w:rsidRPr="00C05330">
        <w:rPr>
          <w:rFonts w:hint="eastAsia"/>
          <w:kern w:val="0"/>
          <w:szCs w:val="21"/>
        </w:rPr>
        <w:t>.</w:t>
      </w:r>
      <w:r w:rsidRPr="00C05330">
        <w:rPr>
          <w:kern w:val="0"/>
          <w:szCs w:val="21"/>
        </w:rPr>
        <w:t xml:space="preserve"> Soc</w:t>
      </w:r>
      <w:r w:rsidRPr="00C05330">
        <w:rPr>
          <w:rFonts w:hint="eastAsia"/>
          <w:kern w:val="0"/>
          <w:szCs w:val="21"/>
        </w:rPr>
        <w:t>.</w:t>
      </w:r>
      <w:r w:rsidRPr="00C05330">
        <w:rPr>
          <w:kern w:val="0"/>
          <w:szCs w:val="21"/>
        </w:rPr>
        <w:t xml:space="preserve"> Rev</w:t>
      </w:r>
      <w:r w:rsidRPr="00C05330">
        <w:rPr>
          <w:rFonts w:hint="eastAsia"/>
          <w:kern w:val="0"/>
          <w:szCs w:val="21"/>
        </w:rPr>
        <w:t>.</w:t>
      </w:r>
      <w:r w:rsidRPr="00C05330">
        <w:rPr>
          <w:kern w:val="0"/>
          <w:szCs w:val="21"/>
        </w:rPr>
        <w:t xml:space="preserve">, 2013, </w:t>
      </w:r>
      <w:r w:rsidRPr="00C05330">
        <w:rPr>
          <w:bCs/>
          <w:kern w:val="0"/>
          <w:szCs w:val="21"/>
        </w:rPr>
        <w:t>42</w:t>
      </w:r>
      <w:r w:rsidRPr="00C05330">
        <w:rPr>
          <w:kern w:val="0"/>
          <w:szCs w:val="21"/>
        </w:rPr>
        <w:t>, 3661-3662</w:t>
      </w:r>
      <w:r w:rsidRPr="00C05330">
        <w:rPr>
          <w:rFonts w:hint="eastAsia"/>
          <w:kern w:val="0"/>
          <w:szCs w:val="21"/>
        </w:rPr>
        <w:t>.</w:t>
      </w:r>
    </w:p>
    <w:p w:rsidR="00144677" w:rsidRPr="00C05330" w:rsidRDefault="008C53A8">
      <w:pPr>
        <w:rPr>
          <w:rFonts w:cstheme="minorHAnsi"/>
          <w:szCs w:val="21"/>
        </w:rPr>
      </w:pPr>
      <w:r w:rsidRPr="00C05330">
        <w:rPr>
          <w:rFonts w:cstheme="minorHAnsi" w:hint="eastAsia"/>
          <w:szCs w:val="21"/>
        </w:rPr>
        <w:t>实验中心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eastAsia="AdvOT5777b7ad"/>
          <w:kern w:val="0"/>
          <w:szCs w:val="21"/>
        </w:rPr>
      </w:pPr>
      <w:r w:rsidRPr="00C05330">
        <w:rPr>
          <w:rFonts w:eastAsia="AdvOT5777b7ad"/>
          <w:kern w:val="0"/>
          <w:szCs w:val="21"/>
        </w:rPr>
        <w:t>Dong-Kwon Lim, Ki-Seok Jeon, Jae-Ho Hwang,</w:t>
      </w:r>
      <w:r w:rsidRPr="00C05330">
        <w:rPr>
          <w:rFonts w:eastAsia="AdvOT5777b7ad" w:hint="eastAsia"/>
          <w:kern w:val="0"/>
          <w:szCs w:val="21"/>
        </w:rPr>
        <w:t xml:space="preserve"> et al. </w:t>
      </w:r>
      <w:r w:rsidRPr="00C05330">
        <w:rPr>
          <w:rFonts w:eastAsia="AdvOT5777b7ad"/>
          <w:kern w:val="0"/>
          <w:szCs w:val="21"/>
        </w:rPr>
        <w:t>Highly uniform and reproducible surface-enhanced</w:t>
      </w:r>
      <w:r w:rsidRPr="00C05330">
        <w:rPr>
          <w:rFonts w:eastAsia="AdvOT5777b7ad" w:hint="eastAsia"/>
          <w:kern w:val="0"/>
          <w:szCs w:val="21"/>
        </w:rPr>
        <w:t xml:space="preserve"> </w:t>
      </w:r>
      <w:r w:rsidRPr="00C05330">
        <w:rPr>
          <w:rFonts w:eastAsia="AdvOT5777b7ad"/>
          <w:kern w:val="0"/>
          <w:szCs w:val="21"/>
        </w:rPr>
        <w:t>Raman scattering from DNA-tailorable</w:t>
      </w:r>
      <w:r w:rsidRPr="00C05330">
        <w:rPr>
          <w:rFonts w:eastAsia="AdvOT5777b7ad" w:hint="eastAsia"/>
          <w:kern w:val="0"/>
          <w:szCs w:val="21"/>
        </w:rPr>
        <w:t xml:space="preserve"> </w:t>
      </w:r>
      <w:r w:rsidRPr="00C05330">
        <w:rPr>
          <w:rFonts w:eastAsia="AdvOT5777b7ad"/>
          <w:kern w:val="0"/>
          <w:szCs w:val="21"/>
        </w:rPr>
        <w:t>nanoparticles with 1-nm interior gap</w:t>
      </w:r>
      <w:r w:rsidRPr="00C05330">
        <w:rPr>
          <w:rFonts w:eastAsia="AdvOT5777b7ad" w:hint="eastAsia"/>
          <w:kern w:val="0"/>
          <w:szCs w:val="21"/>
        </w:rPr>
        <w:t>.</w:t>
      </w:r>
      <w:r w:rsidRPr="00C05330">
        <w:rPr>
          <w:rFonts w:eastAsia="AdvOT5777b7ad"/>
          <w:kern w:val="0"/>
          <w:szCs w:val="21"/>
        </w:rPr>
        <w:t>N</w:t>
      </w:r>
      <w:r w:rsidRPr="00C05330">
        <w:rPr>
          <w:rFonts w:eastAsia="AdvOT5777b7ad" w:hint="eastAsia"/>
          <w:kern w:val="0"/>
          <w:szCs w:val="21"/>
        </w:rPr>
        <w:t>atrue nanotechnolygy, 2011, 6, 452-460.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kern w:val="0"/>
          <w:szCs w:val="21"/>
        </w:rPr>
      </w:pPr>
      <w:r w:rsidRPr="00C05330">
        <w:rPr>
          <w:kern w:val="0"/>
          <w:szCs w:val="21"/>
        </w:rPr>
        <w:t>Jian Feng Li, Yi Fan Huang, Yong Ding, et al, Shell-isolated nanoparticle-enhanced Raman</w:t>
      </w:r>
    </w:p>
    <w:p w:rsidR="00144677" w:rsidRPr="00C05330" w:rsidRDefault="008C53A8">
      <w:pPr>
        <w:pStyle w:val="af4"/>
        <w:autoSpaceDE w:val="0"/>
        <w:autoSpaceDN w:val="0"/>
        <w:adjustRightInd w:val="0"/>
        <w:snapToGrid w:val="0"/>
        <w:ind w:left="420" w:firstLineChars="0" w:firstLine="0"/>
        <w:rPr>
          <w:kern w:val="0"/>
          <w:szCs w:val="21"/>
        </w:rPr>
      </w:pPr>
      <w:r w:rsidRPr="00C05330">
        <w:rPr>
          <w:kern w:val="0"/>
          <w:szCs w:val="21"/>
        </w:rPr>
        <w:t>Spectroscopy</w:t>
      </w:r>
      <w:r w:rsidRPr="00C05330">
        <w:rPr>
          <w:rFonts w:hint="eastAsia"/>
          <w:kern w:val="0"/>
          <w:szCs w:val="21"/>
        </w:rPr>
        <w:t>.Natrue Letters, 2010, 464, 392-395.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eastAsia="AdvOT5777b7ad"/>
          <w:kern w:val="0"/>
          <w:szCs w:val="21"/>
        </w:rPr>
      </w:pPr>
      <w:r w:rsidRPr="00C05330">
        <w:rPr>
          <w:kern w:val="0"/>
          <w:szCs w:val="21"/>
        </w:rPr>
        <w:t>Ronit Freeman,Xiaoqing Liu,and Itamar Willner. Chemiluminescent and Chemiluminescence Resonance Energy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Transfer (CRET) Detection of DNA, Metal Ions, and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Aptamer</w:t>
      </w:r>
      <w:r w:rsidRPr="00C05330">
        <w:rPr>
          <w:rFonts w:eastAsia="AdvP4C4E74"/>
          <w:kern w:val="0"/>
          <w:szCs w:val="21"/>
        </w:rPr>
        <w:t>_</w:t>
      </w:r>
      <w:r w:rsidRPr="00C05330">
        <w:rPr>
          <w:kern w:val="0"/>
          <w:szCs w:val="21"/>
        </w:rPr>
        <w:t>Substrate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Complexes Using Hemin/G-Quadruplexesand CdSe/ZnS Quantum Dots. J. Am. Chem. Soc. 2</w:t>
      </w:r>
      <w:r w:rsidRPr="00C05330">
        <w:rPr>
          <w:rFonts w:eastAsia="AdvOT5777b7ad"/>
          <w:kern w:val="0"/>
          <w:szCs w:val="21"/>
        </w:rPr>
        <w:t>011, 133, 11597–11604</w:t>
      </w:r>
      <w:r w:rsidRPr="00C05330">
        <w:rPr>
          <w:rFonts w:eastAsia="AdvOT5777b7ad"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bCs/>
          <w:kern w:val="0"/>
          <w:szCs w:val="21"/>
        </w:rPr>
        <w:t>Anne M. Evans,</w:t>
      </w:r>
      <w:r w:rsidRPr="00C05330">
        <w:rPr>
          <w:rFonts w:hint="eastAsia"/>
          <w:bCs/>
          <w:kern w:val="0"/>
          <w:szCs w:val="21"/>
        </w:rPr>
        <w:t xml:space="preserve"> </w:t>
      </w:r>
      <w:r w:rsidRPr="00C05330">
        <w:rPr>
          <w:bCs/>
          <w:kern w:val="0"/>
          <w:szCs w:val="21"/>
        </w:rPr>
        <w:t>CoreyD.DeHaven, Tom Barrett</w:t>
      </w:r>
      <w:r w:rsidRPr="00C05330">
        <w:rPr>
          <w:rFonts w:hint="eastAsia"/>
          <w:bCs/>
          <w:kern w:val="0"/>
          <w:szCs w:val="21"/>
        </w:rPr>
        <w:t xml:space="preserve"> et al</w:t>
      </w:r>
      <w:r w:rsidRPr="00C05330">
        <w:rPr>
          <w:bCs/>
          <w:kern w:val="0"/>
          <w:szCs w:val="21"/>
        </w:rPr>
        <w:t>. Integrated, Nontargeted Ultrahigh Performance</w:t>
      </w:r>
      <w:r w:rsidRPr="00C05330">
        <w:rPr>
          <w:rFonts w:hint="eastAsia"/>
          <w:bCs/>
          <w:kern w:val="0"/>
          <w:szCs w:val="21"/>
        </w:rPr>
        <w:t xml:space="preserve"> </w:t>
      </w:r>
      <w:r w:rsidRPr="00C05330">
        <w:rPr>
          <w:bCs/>
          <w:kern w:val="0"/>
          <w:szCs w:val="21"/>
        </w:rPr>
        <w:t>Liquid Chromatography/Electrospray IonizationTandem Mass Spectrometry Platform for the</w:t>
      </w:r>
      <w:r w:rsidRPr="00C05330">
        <w:rPr>
          <w:rFonts w:hint="eastAsia"/>
          <w:bCs/>
          <w:kern w:val="0"/>
          <w:szCs w:val="21"/>
        </w:rPr>
        <w:t xml:space="preserve"> </w:t>
      </w:r>
      <w:r w:rsidRPr="00C05330">
        <w:rPr>
          <w:bCs/>
          <w:kern w:val="0"/>
          <w:szCs w:val="21"/>
        </w:rPr>
        <w:t>Identification and Relative Quantification of the</w:t>
      </w:r>
      <w:r w:rsidRPr="00C05330">
        <w:rPr>
          <w:rFonts w:hint="eastAsia"/>
          <w:bCs/>
          <w:kern w:val="0"/>
          <w:szCs w:val="21"/>
        </w:rPr>
        <w:t xml:space="preserve"> </w:t>
      </w:r>
      <w:r w:rsidRPr="00C05330">
        <w:rPr>
          <w:bCs/>
          <w:kern w:val="0"/>
          <w:szCs w:val="21"/>
        </w:rPr>
        <w:t>Small-Molecule Complement of Biological Systems.</w:t>
      </w:r>
      <w:r w:rsidRPr="00C05330">
        <w:rPr>
          <w:iCs/>
          <w:kern w:val="0"/>
          <w:szCs w:val="21"/>
        </w:rPr>
        <w:t xml:space="preserve"> Anal. Chem. </w:t>
      </w:r>
      <w:r w:rsidRPr="00C05330">
        <w:rPr>
          <w:bCs/>
          <w:kern w:val="0"/>
          <w:szCs w:val="21"/>
        </w:rPr>
        <w:t xml:space="preserve">2009, </w:t>
      </w:r>
      <w:r w:rsidRPr="00C05330">
        <w:rPr>
          <w:iCs/>
          <w:kern w:val="0"/>
          <w:szCs w:val="21"/>
        </w:rPr>
        <w:t xml:space="preserve">81, </w:t>
      </w:r>
      <w:r w:rsidRPr="00C05330">
        <w:rPr>
          <w:kern w:val="0"/>
          <w:szCs w:val="21"/>
        </w:rPr>
        <w:t>6656–6667</w:t>
      </w:r>
      <w:r w:rsidRPr="00C05330">
        <w:rPr>
          <w:rFonts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Min Zhang, Xihao Zhang, Xiwen He,et al. A self-assembled polydopamine film on the surface of magnetic nanoparticles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for specific capture of protein. Nanoscale, 2012, 4,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3141–3147.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Pengzuo Chen, Tianpei Zhou, Sibo Wang, et al.</w:t>
      </w:r>
      <w:r w:rsidRPr="00C05330">
        <w:rPr>
          <w:bCs/>
          <w:kern w:val="0"/>
          <w:szCs w:val="21"/>
        </w:rPr>
        <w:t xml:space="preserve"> Dynamic Migration of Surface Fluorine-anions on Cobalt-based</w:t>
      </w:r>
      <w:r w:rsidRPr="00C05330">
        <w:rPr>
          <w:rFonts w:hint="eastAsia"/>
          <w:bCs/>
          <w:kern w:val="0"/>
          <w:szCs w:val="21"/>
        </w:rPr>
        <w:t xml:space="preserve"> </w:t>
      </w:r>
      <w:r w:rsidRPr="00C05330">
        <w:rPr>
          <w:bCs/>
          <w:kern w:val="0"/>
          <w:szCs w:val="21"/>
        </w:rPr>
        <w:t>Materials Realizing Enhanced Oxygen Evolution Catalysis.</w:t>
      </w:r>
      <w:r w:rsidRPr="00C05330">
        <w:rPr>
          <w:rFonts w:eastAsia="ArialNarrow-Italic"/>
          <w:i/>
          <w:iCs/>
          <w:kern w:val="0"/>
          <w:szCs w:val="21"/>
        </w:rPr>
        <w:t xml:space="preserve"> </w:t>
      </w:r>
      <w:r w:rsidRPr="00C05330">
        <w:rPr>
          <w:rFonts w:eastAsia="ArialNarrow-Italic"/>
          <w:iCs/>
          <w:kern w:val="0"/>
          <w:szCs w:val="21"/>
        </w:rPr>
        <w:t xml:space="preserve">Angew. Chem. </w:t>
      </w:r>
      <w:r w:rsidRPr="00C05330">
        <w:rPr>
          <w:rFonts w:eastAsia="ArialUnicodeMS"/>
          <w:kern w:val="0"/>
          <w:szCs w:val="21"/>
        </w:rPr>
        <w:t>201809220</w:t>
      </w:r>
      <w:r w:rsidRPr="00C05330">
        <w:rPr>
          <w:rFonts w:eastAsia="ArialUnicodeMS"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Bo Zhang, Xueli Zheng, Oleksandr Voznyy, et al. Homogeneously dispersed multimetal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oxygen-evolving catalysts.</w:t>
      </w:r>
      <w:r w:rsidRPr="00C05330">
        <w:rPr>
          <w:iCs/>
          <w:kern w:val="0"/>
          <w:szCs w:val="21"/>
        </w:rPr>
        <w:t xml:space="preserve"> Science</w:t>
      </w:r>
      <w:r w:rsidRPr="00C05330">
        <w:rPr>
          <w:rFonts w:hint="eastAsia"/>
          <w:iCs/>
          <w:kern w:val="0"/>
          <w:szCs w:val="21"/>
        </w:rPr>
        <w:t xml:space="preserve">, </w:t>
      </w:r>
      <w:r w:rsidRPr="00C05330">
        <w:rPr>
          <w:bCs/>
          <w:kern w:val="0"/>
          <w:szCs w:val="21"/>
        </w:rPr>
        <w:t xml:space="preserve">352 </w:t>
      </w:r>
      <w:r w:rsidRPr="00C05330">
        <w:rPr>
          <w:kern w:val="0"/>
          <w:szCs w:val="21"/>
        </w:rPr>
        <w:t>(6283)</w:t>
      </w:r>
      <w:r w:rsidRPr="00C05330">
        <w:rPr>
          <w:rFonts w:hint="eastAsia"/>
          <w:kern w:val="0"/>
          <w:szCs w:val="21"/>
        </w:rPr>
        <w:t xml:space="preserve">, </w:t>
      </w:r>
      <w:r w:rsidRPr="00C05330">
        <w:rPr>
          <w:kern w:val="0"/>
          <w:szCs w:val="21"/>
        </w:rPr>
        <w:t>333-337.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Eric J. Popczun, James R. McKone, Carlos G. Read, et al. Nanostructured Nickel Phosphide as an Electrocatalyst for the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Hydrogen Evolution Reaction. J. Am. Chem. Soc. 2013, 135, 9267</w:t>
      </w:r>
      <w:r w:rsidRPr="00C05330">
        <w:rPr>
          <w:rFonts w:eastAsia="MS Mincho"/>
          <w:kern w:val="0"/>
          <w:szCs w:val="21"/>
        </w:rPr>
        <w:t>−</w:t>
      </w:r>
      <w:r w:rsidRPr="00C05330">
        <w:rPr>
          <w:kern w:val="0"/>
          <w:szCs w:val="21"/>
        </w:rPr>
        <w:t>9270</w:t>
      </w:r>
      <w:r w:rsidRPr="00C05330">
        <w:rPr>
          <w:rFonts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Yanguang Li, Hailiang Wang, Liming Xie,et al. MoS2 Nanoparticles Grown on Graphene: An Advanced Catalyst for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the Hydrogen Evolution Reaction. J. Am. Chem. Soc. 2011, 133, 7296–7299</w:t>
      </w:r>
      <w:r w:rsidRPr="00C05330">
        <w:rPr>
          <w:rFonts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rFonts w:eastAsia="ArialUnicodeMS"/>
          <w:kern w:val="0"/>
          <w:szCs w:val="21"/>
        </w:rPr>
        <w:t>Camillo Spoeri, Jason Tai Hong Kwan, Arman Bonakdarpour,et al. The Stability Challenges of Oxygen Evolving Electrocatalysts:</w:t>
      </w:r>
      <w:r w:rsidRPr="00C05330">
        <w:rPr>
          <w:rFonts w:eastAsia="ArialUnicodeMS" w:hint="eastAsia"/>
          <w:kern w:val="0"/>
          <w:szCs w:val="21"/>
        </w:rPr>
        <w:t xml:space="preserve"> </w:t>
      </w:r>
      <w:r w:rsidRPr="00C05330">
        <w:rPr>
          <w:rFonts w:eastAsia="ArialUnicodeMS"/>
          <w:kern w:val="0"/>
          <w:szCs w:val="21"/>
        </w:rPr>
        <w:t>Towards a Common Fundamental Understanding and Mitigation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rFonts w:eastAsia="ArialUnicodeMS"/>
          <w:kern w:val="0"/>
          <w:szCs w:val="21"/>
        </w:rPr>
        <w:t>of Catalyst Degradation.</w:t>
      </w:r>
      <w:r w:rsidRPr="00C05330">
        <w:rPr>
          <w:rFonts w:eastAsia="ArialNarrow-Italic"/>
          <w:i/>
          <w:iCs/>
          <w:kern w:val="0"/>
          <w:szCs w:val="21"/>
        </w:rPr>
        <w:t xml:space="preserve"> </w:t>
      </w:r>
      <w:r w:rsidRPr="00C05330">
        <w:rPr>
          <w:rFonts w:eastAsia="ArialNarrow-Italic"/>
          <w:iCs/>
          <w:kern w:val="0"/>
          <w:szCs w:val="21"/>
        </w:rPr>
        <w:t xml:space="preserve">Angew. Chem. </w:t>
      </w:r>
      <w:r w:rsidRPr="00C05330">
        <w:rPr>
          <w:rFonts w:eastAsia="ArialUnicodeMS"/>
          <w:kern w:val="0"/>
          <w:szCs w:val="21"/>
        </w:rPr>
        <w:t>201608601</w:t>
      </w:r>
      <w:r w:rsidRPr="00C05330">
        <w:rPr>
          <w:rFonts w:eastAsia="ArialUnicodeMS"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rFonts w:eastAsia="ArialUnicodeMS"/>
          <w:kern w:val="0"/>
          <w:szCs w:val="21"/>
        </w:rPr>
        <w:t>Xinchuan Du, Jianwen Huang, Junjun Zhang, et al. Modulating Electronic Structures of Inorganic Nanomaterials for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rFonts w:eastAsia="ArialUnicodeMS"/>
          <w:kern w:val="0"/>
          <w:szCs w:val="21"/>
        </w:rPr>
        <w:t>Efficient Electrocatalytic Water Splitting.</w:t>
      </w:r>
      <w:r w:rsidRPr="00C05330">
        <w:rPr>
          <w:rFonts w:eastAsia="ArialNarrow-Italic"/>
          <w:iCs/>
          <w:kern w:val="0"/>
          <w:szCs w:val="21"/>
        </w:rPr>
        <w:t xml:space="preserve"> Angew. Chem. </w:t>
      </w:r>
      <w:r w:rsidRPr="00C05330">
        <w:rPr>
          <w:rFonts w:eastAsia="ArialUnicodeMS"/>
          <w:kern w:val="0"/>
          <w:szCs w:val="21"/>
        </w:rPr>
        <w:t>201810104</w:t>
      </w:r>
      <w:r w:rsidRPr="00C05330">
        <w:rPr>
          <w:rFonts w:eastAsia="ArialUnicodeMS" w:hint="eastAsia"/>
          <w:kern w:val="0"/>
          <w:szCs w:val="21"/>
        </w:rPr>
        <w:t xml:space="preserve">. 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E. L. Unger, E. T. Hoke, C. D. Bailie,et al. Hysteresis and transient behavior in current–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voltage measurements of hybrid-perovskite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absorber solar cells. Energy Environ. Sci., 2014, 7, 3690–3698</w:t>
      </w:r>
      <w:r w:rsidRPr="00C05330">
        <w:rPr>
          <w:rFonts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rFonts w:eastAsia="AdvOTe831afd5"/>
          <w:kern w:val="0"/>
          <w:szCs w:val="21"/>
        </w:rPr>
        <w:t>Julian Burschka, Norman Pellet, Soo-Jin Moon,et al.</w:t>
      </w:r>
      <w:r w:rsidRPr="00C05330">
        <w:rPr>
          <w:rFonts w:eastAsia="AdvOT63ee2d25.B"/>
          <w:kern w:val="0"/>
          <w:szCs w:val="21"/>
        </w:rPr>
        <w:t xml:space="preserve"> Sequential deposition as a route to high-performance</w:t>
      </w:r>
      <w:r w:rsidRPr="00C05330">
        <w:rPr>
          <w:rFonts w:eastAsia="AdvOT63ee2d25.B" w:hint="eastAsia"/>
          <w:kern w:val="0"/>
          <w:szCs w:val="21"/>
        </w:rPr>
        <w:t xml:space="preserve"> </w:t>
      </w:r>
      <w:r w:rsidRPr="00C05330">
        <w:rPr>
          <w:rFonts w:eastAsia="AdvOT63ee2d25.B"/>
          <w:kern w:val="0"/>
          <w:szCs w:val="21"/>
        </w:rPr>
        <w:t>perovskite-sensitized solar cells.</w:t>
      </w:r>
      <w:r w:rsidRPr="00C05330">
        <w:rPr>
          <w:rFonts w:eastAsia="AdvOTe831afd5"/>
          <w:kern w:val="0"/>
          <w:szCs w:val="21"/>
        </w:rPr>
        <w:t xml:space="preserve"> Nature</w:t>
      </w:r>
      <w:r w:rsidRPr="00C05330">
        <w:rPr>
          <w:rFonts w:eastAsia="AdvOTe831afd5" w:hint="eastAsia"/>
          <w:kern w:val="0"/>
          <w:szCs w:val="21"/>
        </w:rPr>
        <w:t xml:space="preserve">, </w:t>
      </w:r>
      <w:r w:rsidRPr="00C05330">
        <w:rPr>
          <w:rFonts w:eastAsia="AdvOTe831afd5"/>
          <w:kern w:val="0"/>
          <w:szCs w:val="21"/>
        </w:rPr>
        <w:t>499</w:t>
      </w:r>
      <w:r w:rsidRPr="00C05330">
        <w:rPr>
          <w:rFonts w:eastAsia="AdvOTe831afd5" w:hint="eastAsia"/>
          <w:kern w:val="0"/>
          <w:szCs w:val="21"/>
        </w:rPr>
        <w:t>,</w:t>
      </w:r>
      <w:r w:rsidRPr="00C05330">
        <w:rPr>
          <w:rFonts w:eastAsia="AdvOTe831afd5"/>
          <w:kern w:val="0"/>
          <w:szCs w:val="21"/>
        </w:rPr>
        <w:t xml:space="preserve"> 2013,</w:t>
      </w:r>
      <w:r w:rsidRPr="00C05330">
        <w:rPr>
          <w:rFonts w:eastAsia="AdvOTe831afd5" w:hint="eastAsia"/>
          <w:kern w:val="0"/>
          <w:szCs w:val="21"/>
        </w:rPr>
        <w:t xml:space="preserve"> </w:t>
      </w:r>
      <w:r w:rsidRPr="00C05330">
        <w:rPr>
          <w:rFonts w:eastAsia="AdvOTe831afd5"/>
          <w:kern w:val="0"/>
          <w:szCs w:val="21"/>
        </w:rPr>
        <w:t>316-320</w:t>
      </w:r>
      <w:r w:rsidRPr="00C05330">
        <w:rPr>
          <w:rFonts w:eastAsia="AdvOTe831afd5" w:hint="eastAsia"/>
          <w:kern w:val="0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Akihiro Kojima, Kenjiro Teshima,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Yasuo Shirai,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et al.</w:t>
      </w:r>
      <w:r w:rsidRPr="00C05330">
        <w:rPr>
          <w:bCs/>
          <w:kern w:val="0"/>
          <w:szCs w:val="21"/>
        </w:rPr>
        <w:t xml:space="preserve"> Organometal Halide Perovskites as Visible-Light Sensitizers for Photovoltaic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bCs/>
          <w:kern w:val="0"/>
          <w:szCs w:val="21"/>
        </w:rPr>
        <w:t>Cells.</w:t>
      </w:r>
      <w:r w:rsidRPr="00C05330">
        <w:rPr>
          <w:kern w:val="0"/>
          <w:szCs w:val="21"/>
        </w:rPr>
        <w:t xml:space="preserve"> J. Am. Chem. Soc. </w:t>
      </w:r>
      <w:r w:rsidRPr="00C05330">
        <w:rPr>
          <w:bCs/>
          <w:kern w:val="0"/>
          <w:szCs w:val="21"/>
        </w:rPr>
        <w:t>2009</w:t>
      </w:r>
      <w:r w:rsidRPr="00C05330">
        <w:rPr>
          <w:kern w:val="0"/>
          <w:szCs w:val="21"/>
        </w:rPr>
        <w:t xml:space="preserve">, </w:t>
      </w:r>
      <w:r w:rsidRPr="00C05330">
        <w:rPr>
          <w:iCs/>
          <w:kern w:val="0"/>
          <w:szCs w:val="21"/>
        </w:rPr>
        <w:t>131</w:t>
      </w:r>
      <w:r w:rsidRPr="00C05330">
        <w:rPr>
          <w:kern w:val="0"/>
          <w:szCs w:val="21"/>
        </w:rPr>
        <w:t>, 6050–6051.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szCs w:val="21"/>
        </w:rPr>
        <w:t xml:space="preserve">Nam-Gyu Park, Michael Grätzel, Tsutomu Miyasaka,et al. Towards stable and commercially available perovskite solar cells. </w:t>
      </w:r>
      <w:r w:rsidRPr="00C05330">
        <w:rPr>
          <w:rStyle w:val="A00"/>
          <w:color w:val="auto"/>
          <w:szCs w:val="21"/>
        </w:rPr>
        <w:t>Nature Energy,</w:t>
      </w:r>
      <w:r w:rsidRPr="00C05330">
        <w:rPr>
          <w:rStyle w:val="A00"/>
          <w:rFonts w:hint="eastAsia"/>
          <w:color w:val="auto"/>
          <w:szCs w:val="21"/>
        </w:rPr>
        <w:t xml:space="preserve"> </w:t>
      </w:r>
      <w:r w:rsidRPr="00C05330">
        <w:rPr>
          <w:rStyle w:val="A00"/>
          <w:color w:val="auto"/>
          <w:szCs w:val="21"/>
        </w:rPr>
        <w:t>2016,</w:t>
      </w:r>
      <w:r w:rsidRPr="00C05330">
        <w:rPr>
          <w:rStyle w:val="A00"/>
          <w:rFonts w:eastAsia="Whitney Book"/>
          <w:color w:val="auto"/>
          <w:szCs w:val="21"/>
        </w:rPr>
        <w:t xml:space="preserve"> 1 , </w:t>
      </w:r>
      <w:r w:rsidRPr="00C05330">
        <w:rPr>
          <w:szCs w:val="21"/>
        </w:rPr>
        <w:t>1-8</w:t>
      </w:r>
      <w:r w:rsidRPr="00C05330">
        <w:rPr>
          <w:rFonts w:hint="eastAsia"/>
          <w:szCs w:val="21"/>
        </w:rPr>
        <w:t>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kern w:val="0"/>
          <w:szCs w:val="21"/>
        </w:rPr>
        <w:t>Michael M. Lee, Joël Teuscher,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Tsutomu Miyasaka, et al. Efficient Hybrid Solar Cells Based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on Meso-Superstructured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kern w:val="0"/>
          <w:szCs w:val="21"/>
        </w:rPr>
        <w:t>Organometal Halide Perovskites.</w:t>
      </w:r>
      <w:r w:rsidRPr="00C05330">
        <w:rPr>
          <w:i/>
          <w:iCs/>
          <w:kern w:val="0"/>
          <w:szCs w:val="21"/>
        </w:rPr>
        <w:t xml:space="preserve"> </w:t>
      </w:r>
      <w:r w:rsidRPr="00C05330">
        <w:rPr>
          <w:iCs/>
          <w:kern w:val="0"/>
          <w:szCs w:val="21"/>
        </w:rPr>
        <w:t>Science</w:t>
      </w:r>
      <w:r w:rsidRPr="00C05330">
        <w:rPr>
          <w:rFonts w:hint="eastAsia"/>
          <w:iCs/>
          <w:kern w:val="0"/>
          <w:szCs w:val="21"/>
        </w:rPr>
        <w:t xml:space="preserve">, </w:t>
      </w:r>
      <w:r w:rsidRPr="00C05330">
        <w:rPr>
          <w:bCs/>
          <w:kern w:val="0"/>
          <w:szCs w:val="21"/>
        </w:rPr>
        <w:t>338</w:t>
      </w:r>
      <w:r w:rsidRPr="00C05330">
        <w:rPr>
          <w:kern w:val="0"/>
          <w:szCs w:val="21"/>
        </w:rPr>
        <w:t>(6107), 643-647.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iCs/>
          <w:kern w:val="0"/>
          <w:szCs w:val="21"/>
        </w:rPr>
        <w:t>Tomas Leijtens , Giles E. Eperon , Nakita K. Noel ,et al.</w:t>
      </w:r>
      <w:r w:rsidRPr="00C05330">
        <w:rPr>
          <w:bCs/>
          <w:kern w:val="0"/>
          <w:szCs w:val="21"/>
        </w:rPr>
        <w:t xml:space="preserve"> Stability of Metal Halide Perovskite</w:t>
      </w:r>
      <w:r w:rsidRPr="00C05330">
        <w:rPr>
          <w:rFonts w:hint="eastAsia"/>
          <w:bCs/>
          <w:kern w:val="0"/>
          <w:szCs w:val="21"/>
        </w:rPr>
        <w:t xml:space="preserve"> </w:t>
      </w:r>
      <w:r w:rsidRPr="00C05330">
        <w:rPr>
          <w:bCs/>
          <w:kern w:val="0"/>
          <w:szCs w:val="21"/>
        </w:rPr>
        <w:t>Solar Cells.</w:t>
      </w:r>
      <w:r w:rsidRPr="00C05330">
        <w:rPr>
          <w:iCs/>
          <w:kern w:val="0"/>
          <w:szCs w:val="21"/>
        </w:rPr>
        <w:t xml:space="preserve"> Adv. Energy Mater</w:t>
      </w:r>
      <w:r w:rsidRPr="00C05330">
        <w:rPr>
          <w:kern w:val="0"/>
          <w:szCs w:val="21"/>
        </w:rPr>
        <w:t xml:space="preserve">. </w:t>
      </w:r>
      <w:r w:rsidRPr="00C05330">
        <w:rPr>
          <w:bCs/>
          <w:kern w:val="0"/>
          <w:szCs w:val="21"/>
        </w:rPr>
        <w:t>2015</w:t>
      </w:r>
      <w:r w:rsidRPr="00C05330">
        <w:rPr>
          <w:kern w:val="0"/>
          <w:szCs w:val="21"/>
        </w:rPr>
        <w:t xml:space="preserve">, </w:t>
      </w:r>
      <w:r w:rsidRPr="00C05330">
        <w:rPr>
          <w:iCs/>
          <w:kern w:val="0"/>
          <w:szCs w:val="21"/>
        </w:rPr>
        <w:t>5</w:t>
      </w:r>
      <w:r w:rsidRPr="00C05330">
        <w:rPr>
          <w:kern w:val="0"/>
          <w:szCs w:val="21"/>
        </w:rPr>
        <w:t>,1-23.</w:t>
      </w:r>
    </w:p>
    <w:p w:rsidR="00144677" w:rsidRPr="00C05330" w:rsidRDefault="008C53A8">
      <w:pPr>
        <w:pStyle w:val="af4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kern w:val="0"/>
          <w:szCs w:val="21"/>
        </w:rPr>
      </w:pPr>
      <w:r w:rsidRPr="00C05330">
        <w:rPr>
          <w:rFonts w:eastAsia="AdvOT5777b7ad"/>
          <w:kern w:val="0"/>
          <w:szCs w:val="21"/>
        </w:rPr>
        <w:t>Jingbi You, LeiMeng, Tze-Bin Song,et al. Improved air stability of perovskite solar cells via</w:t>
      </w:r>
      <w:r w:rsidRPr="00C05330">
        <w:rPr>
          <w:rFonts w:hint="eastAsia"/>
          <w:kern w:val="0"/>
          <w:szCs w:val="21"/>
        </w:rPr>
        <w:t xml:space="preserve"> </w:t>
      </w:r>
      <w:r w:rsidRPr="00C05330">
        <w:rPr>
          <w:rFonts w:eastAsia="AdvOT5777b7ad"/>
          <w:kern w:val="0"/>
          <w:szCs w:val="21"/>
        </w:rPr>
        <w:t>solution-processed metal oxide transport layers. Nature Nanotechnology</w:t>
      </w:r>
      <w:r w:rsidRPr="00C05330">
        <w:rPr>
          <w:rFonts w:eastAsia="AdvOT5777b7ad" w:hint="eastAsia"/>
          <w:kern w:val="0"/>
          <w:szCs w:val="21"/>
        </w:rPr>
        <w:t xml:space="preserve">, </w:t>
      </w:r>
      <w:r w:rsidRPr="00C05330">
        <w:rPr>
          <w:rFonts w:eastAsia="AdvOT5777b7ad"/>
          <w:kern w:val="0"/>
          <w:szCs w:val="21"/>
        </w:rPr>
        <w:t>2016,</w:t>
      </w:r>
      <w:r w:rsidRPr="00C05330">
        <w:rPr>
          <w:rFonts w:eastAsia="AdvOT5777b7ad" w:hint="eastAsia"/>
          <w:kern w:val="0"/>
          <w:szCs w:val="21"/>
        </w:rPr>
        <w:t xml:space="preserve"> 11, </w:t>
      </w:r>
      <w:r w:rsidRPr="00C05330">
        <w:rPr>
          <w:rFonts w:eastAsia="AdvOT5777b7ad"/>
          <w:kern w:val="0"/>
          <w:szCs w:val="21"/>
        </w:rPr>
        <w:t xml:space="preserve">75-82. </w:t>
      </w:r>
    </w:p>
    <w:p w:rsidR="00144677" w:rsidRDefault="00144677">
      <w:pPr>
        <w:rPr>
          <w:rFonts w:cstheme="minorHAnsi"/>
          <w:szCs w:val="21"/>
        </w:rPr>
      </w:pPr>
    </w:p>
    <w:p w:rsidR="00144677" w:rsidRDefault="00144677">
      <w:pPr>
        <w:rPr>
          <w:rFonts w:cstheme="minorHAnsi"/>
          <w:szCs w:val="21"/>
        </w:rPr>
      </w:pPr>
    </w:p>
    <w:p w:rsidR="00144677" w:rsidRDefault="00144677">
      <w:pPr>
        <w:widowControl/>
        <w:rPr>
          <w:kern w:val="0"/>
          <w:sz w:val="10"/>
          <w:szCs w:val="10"/>
        </w:rPr>
      </w:pPr>
    </w:p>
    <w:sectPr w:rsidR="00144677" w:rsidSect="0014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18" w:rsidRDefault="00837818" w:rsidP="008C53A8">
      <w:r>
        <w:separator/>
      </w:r>
    </w:p>
  </w:endnote>
  <w:endnote w:type="continuationSeparator" w:id="0">
    <w:p w:rsidR="00837818" w:rsidRDefault="00837818" w:rsidP="008C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emibold">
    <w:altName w:val="Whitney Semibold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dvOTfb668818.B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dvOT5777b7ad">
    <w:altName w:val="Malgun Gothic Semilight"/>
    <w:charset w:val="86"/>
    <w:family w:val="auto"/>
    <w:pitch w:val="default"/>
    <w:sig w:usb0="00000000" w:usb1="00000000" w:usb2="00000010" w:usb3="00000000" w:csb0="00040001" w:csb1="00000000"/>
  </w:font>
  <w:font w:name="AdvP4C4E74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Narrow-Italic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dvOTe831afd5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dvOT63ee2d25.B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Whitney Book">
    <w:altName w:val="Malgun Gothic Semilight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18" w:rsidRDefault="00837818" w:rsidP="008C53A8">
      <w:r>
        <w:separator/>
      </w:r>
    </w:p>
  </w:footnote>
  <w:footnote w:type="continuationSeparator" w:id="0">
    <w:p w:rsidR="00837818" w:rsidRDefault="00837818" w:rsidP="008C5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5C2"/>
    <w:multiLevelType w:val="multilevel"/>
    <w:tmpl w:val="09DE4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54E09"/>
    <w:multiLevelType w:val="multilevel"/>
    <w:tmpl w:val="38554E0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M3NmU2YTI3YTIxN2FjYjgwNmQwM2U4Zjc5YWFlNGYifQ=="/>
  </w:docVars>
  <w:rsids>
    <w:rsidRoot w:val="000F51FF"/>
    <w:rsid w:val="00016535"/>
    <w:rsid w:val="00023CBA"/>
    <w:rsid w:val="00024737"/>
    <w:rsid w:val="0002557C"/>
    <w:rsid w:val="000278DE"/>
    <w:rsid w:val="0003024D"/>
    <w:rsid w:val="00032564"/>
    <w:rsid w:val="00032F3F"/>
    <w:rsid w:val="00034A60"/>
    <w:rsid w:val="00037415"/>
    <w:rsid w:val="0005022B"/>
    <w:rsid w:val="00061B5D"/>
    <w:rsid w:val="00061BA1"/>
    <w:rsid w:val="000636D9"/>
    <w:rsid w:val="000652B6"/>
    <w:rsid w:val="000724AE"/>
    <w:rsid w:val="00072D58"/>
    <w:rsid w:val="000735A7"/>
    <w:rsid w:val="00073C30"/>
    <w:rsid w:val="00075C34"/>
    <w:rsid w:val="00077755"/>
    <w:rsid w:val="00080034"/>
    <w:rsid w:val="00080CF7"/>
    <w:rsid w:val="00083D2C"/>
    <w:rsid w:val="00083F24"/>
    <w:rsid w:val="00086A0B"/>
    <w:rsid w:val="00087818"/>
    <w:rsid w:val="000910DE"/>
    <w:rsid w:val="000A3CEA"/>
    <w:rsid w:val="000A4680"/>
    <w:rsid w:val="000A62B8"/>
    <w:rsid w:val="000A6677"/>
    <w:rsid w:val="000A68F7"/>
    <w:rsid w:val="000B30D0"/>
    <w:rsid w:val="000B486F"/>
    <w:rsid w:val="000B607D"/>
    <w:rsid w:val="000C139F"/>
    <w:rsid w:val="000C187A"/>
    <w:rsid w:val="000C1C7C"/>
    <w:rsid w:val="000C416E"/>
    <w:rsid w:val="000C48CE"/>
    <w:rsid w:val="000C48E7"/>
    <w:rsid w:val="000C70A4"/>
    <w:rsid w:val="000D470B"/>
    <w:rsid w:val="000D6E1F"/>
    <w:rsid w:val="000D7705"/>
    <w:rsid w:val="000F133D"/>
    <w:rsid w:val="000F4C13"/>
    <w:rsid w:val="000F51FF"/>
    <w:rsid w:val="000F53DB"/>
    <w:rsid w:val="00101EA9"/>
    <w:rsid w:val="001021C3"/>
    <w:rsid w:val="00102482"/>
    <w:rsid w:val="00110A9C"/>
    <w:rsid w:val="0011299D"/>
    <w:rsid w:val="00112D2D"/>
    <w:rsid w:val="00112DDB"/>
    <w:rsid w:val="00113394"/>
    <w:rsid w:val="00113E3F"/>
    <w:rsid w:val="001149D4"/>
    <w:rsid w:val="00116E1D"/>
    <w:rsid w:val="0011751D"/>
    <w:rsid w:val="00117C08"/>
    <w:rsid w:val="00123D0C"/>
    <w:rsid w:val="0012455A"/>
    <w:rsid w:val="00130656"/>
    <w:rsid w:val="00131683"/>
    <w:rsid w:val="00131983"/>
    <w:rsid w:val="001335CA"/>
    <w:rsid w:val="001348E3"/>
    <w:rsid w:val="001377C8"/>
    <w:rsid w:val="00140340"/>
    <w:rsid w:val="0014096D"/>
    <w:rsid w:val="00143EB8"/>
    <w:rsid w:val="00143F26"/>
    <w:rsid w:val="00144677"/>
    <w:rsid w:val="0015520A"/>
    <w:rsid w:val="00155B20"/>
    <w:rsid w:val="00156071"/>
    <w:rsid w:val="00156985"/>
    <w:rsid w:val="00157B01"/>
    <w:rsid w:val="00161AA5"/>
    <w:rsid w:val="00162B36"/>
    <w:rsid w:val="00163662"/>
    <w:rsid w:val="001707BD"/>
    <w:rsid w:val="0017290E"/>
    <w:rsid w:val="00173A1C"/>
    <w:rsid w:val="00175F9A"/>
    <w:rsid w:val="00181119"/>
    <w:rsid w:val="00183602"/>
    <w:rsid w:val="00185BDD"/>
    <w:rsid w:val="001865A7"/>
    <w:rsid w:val="00186A97"/>
    <w:rsid w:val="00187FBA"/>
    <w:rsid w:val="00193EB3"/>
    <w:rsid w:val="00194CD3"/>
    <w:rsid w:val="00196BA2"/>
    <w:rsid w:val="00196F65"/>
    <w:rsid w:val="00197BAD"/>
    <w:rsid w:val="001A1643"/>
    <w:rsid w:val="001A5089"/>
    <w:rsid w:val="001B0FA7"/>
    <w:rsid w:val="001B1236"/>
    <w:rsid w:val="001B3F30"/>
    <w:rsid w:val="001B44D4"/>
    <w:rsid w:val="001C03C3"/>
    <w:rsid w:val="001C337F"/>
    <w:rsid w:val="001C3E29"/>
    <w:rsid w:val="001C50AE"/>
    <w:rsid w:val="001C76A5"/>
    <w:rsid w:val="001C7CCF"/>
    <w:rsid w:val="001D0B00"/>
    <w:rsid w:val="001D2249"/>
    <w:rsid w:val="001D24FF"/>
    <w:rsid w:val="001D2A18"/>
    <w:rsid w:val="001E4030"/>
    <w:rsid w:val="001E5DD9"/>
    <w:rsid w:val="001E6D08"/>
    <w:rsid w:val="001F19B5"/>
    <w:rsid w:val="001F3B32"/>
    <w:rsid w:val="001F5ADB"/>
    <w:rsid w:val="00200C25"/>
    <w:rsid w:val="002016B3"/>
    <w:rsid w:val="00201C0D"/>
    <w:rsid w:val="00206B97"/>
    <w:rsid w:val="00207829"/>
    <w:rsid w:val="00211F8A"/>
    <w:rsid w:val="00215456"/>
    <w:rsid w:val="00222794"/>
    <w:rsid w:val="002272A8"/>
    <w:rsid w:val="00227391"/>
    <w:rsid w:val="002303AA"/>
    <w:rsid w:val="0023099E"/>
    <w:rsid w:val="00231409"/>
    <w:rsid w:val="00231B9F"/>
    <w:rsid w:val="00232C02"/>
    <w:rsid w:val="00233BB9"/>
    <w:rsid w:val="00233C15"/>
    <w:rsid w:val="002369FE"/>
    <w:rsid w:val="00242E13"/>
    <w:rsid w:val="00244AA1"/>
    <w:rsid w:val="00245F73"/>
    <w:rsid w:val="00251B99"/>
    <w:rsid w:val="0025254A"/>
    <w:rsid w:val="00252678"/>
    <w:rsid w:val="00252E17"/>
    <w:rsid w:val="00254446"/>
    <w:rsid w:val="0025490A"/>
    <w:rsid w:val="00254BA6"/>
    <w:rsid w:val="002555C1"/>
    <w:rsid w:val="002631A4"/>
    <w:rsid w:val="0026371F"/>
    <w:rsid w:val="00265FCC"/>
    <w:rsid w:val="00266379"/>
    <w:rsid w:val="00270E37"/>
    <w:rsid w:val="00271212"/>
    <w:rsid w:val="00271268"/>
    <w:rsid w:val="00271FA6"/>
    <w:rsid w:val="00272BA9"/>
    <w:rsid w:val="00274C82"/>
    <w:rsid w:val="00281128"/>
    <w:rsid w:val="002838A6"/>
    <w:rsid w:val="002859CE"/>
    <w:rsid w:val="00285B22"/>
    <w:rsid w:val="0028647B"/>
    <w:rsid w:val="00287289"/>
    <w:rsid w:val="002A274C"/>
    <w:rsid w:val="002A2BCF"/>
    <w:rsid w:val="002A60AF"/>
    <w:rsid w:val="002A6BF3"/>
    <w:rsid w:val="002A799E"/>
    <w:rsid w:val="002B117F"/>
    <w:rsid w:val="002B742C"/>
    <w:rsid w:val="002C107B"/>
    <w:rsid w:val="002C553D"/>
    <w:rsid w:val="002C5BBC"/>
    <w:rsid w:val="002D43D8"/>
    <w:rsid w:val="002D5C4F"/>
    <w:rsid w:val="002D6EEB"/>
    <w:rsid w:val="002E00C3"/>
    <w:rsid w:val="002E22DF"/>
    <w:rsid w:val="002E387C"/>
    <w:rsid w:val="002E621C"/>
    <w:rsid w:val="002E69C4"/>
    <w:rsid w:val="002E6C37"/>
    <w:rsid w:val="002E76C4"/>
    <w:rsid w:val="002F0DF7"/>
    <w:rsid w:val="00302E6A"/>
    <w:rsid w:val="00310691"/>
    <w:rsid w:val="00315DBC"/>
    <w:rsid w:val="0031788B"/>
    <w:rsid w:val="00317AC3"/>
    <w:rsid w:val="003227CE"/>
    <w:rsid w:val="003237B2"/>
    <w:rsid w:val="0032562C"/>
    <w:rsid w:val="00326938"/>
    <w:rsid w:val="0032708D"/>
    <w:rsid w:val="003272CC"/>
    <w:rsid w:val="00330796"/>
    <w:rsid w:val="003307D6"/>
    <w:rsid w:val="003322B4"/>
    <w:rsid w:val="003345BF"/>
    <w:rsid w:val="003349BA"/>
    <w:rsid w:val="00335B0E"/>
    <w:rsid w:val="00335FED"/>
    <w:rsid w:val="003374B7"/>
    <w:rsid w:val="003411FD"/>
    <w:rsid w:val="0034203B"/>
    <w:rsid w:val="0034261B"/>
    <w:rsid w:val="003435F0"/>
    <w:rsid w:val="00356362"/>
    <w:rsid w:val="0035725C"/>
    <w:rsid w:val="003625FF"/>
    <w:rsid w:val="0036346F"/>
    <w:rsid w:val="00364638"/>
    <w:rsid w:val="003647C7"/>
    <w:rsid w:val="00373D16"/>
    <w:rsid w:val="00373DD3"/>
    <w:rsid w:val="00374425"/>
    <w:rsid w:val="00374693"/>
    <w:rsid w:val="003804BE"/>
    <w:rsid w:val="0038094C"/>
    <w:rsid w:val="0038350C"/>
    <w:rsid w:val="00383F8F"/>
    <w:rsid w:val="00385B04"/>
    <w:rsid w:val="00385D58"/>
    <w:rsid w:val="00386082"/>
    <w:rsid w:val="00386AAF"/>
    <w:rsid w:val="003922D1"/>
    <w:rsid w:val="00395D89"/>
    <w:rsid w:val="003972F8"/>
    <w:rsid w:val="003A562B"/>
    <w:rsid w:val="003A7690"/>
    <w:rsid w:val="003B01A4"/>
    <w:rsid w:val="003B0DE2"/>
    <w:rsid w:val="003B3393"/>
    <w:rsid w:val="003B476E"/>
    <w:rsid w:val="003B4EEB"/>
    <w:rsid w:val="003B6768"/>
    <w:rsid w:val="003B6EC5"/>
    <w:rsid w:val="003B6FEE"/>
    <w:rsid w:val="003C2445"/>
    <w:rsid w:val="003C3F34"/>
    <w:rsid w:val="003C4EF0"/>
    <w:rsid w:val="003C638F"/>
    <w:rsid w:val="003C6641"/>
    <w:rsid w:val="003C7B27"/>
    <w:rsid w:val="003D55FE"/>
    <w:rsid w:val="003D655F"/>
    <w:rsid w:val="003D772D"/>
    <w:rsid w:val="003E0786"/>
    <w:rsid w:val="003E083C"/>
    <w:rsid w:val="003E2755"/>
    <w:rsid w:val="003E2759"/>
    <w:rsid w:val="003E2F89"/>
    <w:rsid w:val="003E5D8A"/>
    <w:rsid w:val="003F09EA"/>
    <w:rsid w:val="003F2234"/>
    <w:rsid w:val="003F6E91"/>
    <w:rsid w:val="003F7DCA"/>
    <w:rsid w:val="00402F90"/>
    <w:rsid w:val="0040374B"/>
    <w:rsid w:val="0041190D"/>
    <w:rsid w:val="00411F2B"/>
    <w:rsid w:val="00412A73"/>
    <w:rsid w:val="0041684B"/>
    <w:rsid w:val="00422A9B"/>
    <w:rsid w:val="004235AD"/>
    <w:rsid w:val="004266E8"/>
    <w:rsid w:val="004361FC"/>
    <w:rsid w:val="00440707"/>
    <w:rsid w:val="004414F1"/>
    <w:rsid w:val="00442743"/>
    <w:rsid w:val="0045031F"/>
    <w:rsid w:val="00450CAB"/>
    <w:rsid w:val="00450CE2"/>
    <w:rsid w:val="00454E3C"/>
    <w:rsid w:val="00456733"/>
    <w:rsid w:val="00464746"/>
    <w:rsid w:val="00467370"/>
    <w:rsid w:val="00473D43"/>
    <w:rsid w:val="00477A03"/>
    <w:rsid w:val="00480947"/>
    <w:rsid w:val="0048120C"/>
    <w:rsid w:val="004843F3"/>
    <w:rsid w:val="0048527F"/>
    <w:rsid w:val="00492785"/>
    <w:rsid w:val="004953CE"/>
    <w:rsid w:val="004A0E83"/>
    <w:rsid w:val="004A20AE"/>
    <w:rsid w:val="004A29A7"/>
    <w:rsid w:val="004A2CD3"/>
    <w:rsid w:val="004A3384"/>
    <w:rsid w:val="004A339E"/>
    <w:rsid w:val="004A73F0"/>
    <w:rsid w:val="004B02D8"/>
    <w:rsid w:val="004B3B84"/>
    <w:rsid w:val="004B3BF3"/>
    <w:rsid w:val="004B44B6"/>
    <w:rsid w:val="004B4BBA"/>
    <w:rsid w:val="004B6595"/>
    <w:rsid w:val="004C1240"/>
    <w:rsid w:val="004C142B"/>
    <w:rsid w:val="004C1474"/>
    <w:rsid w:val="004C2CD9"/>
    <w:rsid w:val="004C5BE4"/>
    <w:rsid w:val="004D0E97"/>
    <w:rsid w:val="004D0EFF"/>
    <w:rsid w:val="004D24F9"/>
    <w:rsid w:val="004D28D7"/>
    <w:rsid w:val="004D525F"/>
    <w:rsid w:val="004D6092"/>
    <w:rsid w:val="004D6977"/>
    <w:rsid w:val="004E11CD"/>
    <w:rsid w:val="004E2611"/>
    <w:rsid w:val="004E3F31"/>
    <w:rsid w:val="004E7BD2"/>
    <w:rsid w:val="004F02A4"/>
    <w:rsid w:val="004F2334"/>
    <w:rsid w:val="004F2357"/>
    <w:rsid w:val="004F266F"/>
    <w:rsid w:val="004F4C1E"/>
    <w:rsid w:val="004F6D62"/>
    <w:rsid w:val="004F7EB4"/>
    <w:rsid w:val="00500D9D"/>
    <w:rsid w:val="00501CC7"/>
    <w:rsid w:val="005030DE"/>
    <w:rsid w:val="00503F94"/>
    <w:rsid w:val="00506899"/>
    <w:rsid w:val="00511AB7"/>
    <w:rsid w:val="005178BB"/>
    <w:rsid w:val="00517A09"/>
    <w:rsid w:val="00517A3C"/>
    <w:rsid w:val="00517A6B"/>
    <w:rsid w:val="00521577"/>
    <w:rsid w:val="00530517"/>
    <w:rsid w:val="00531429"/>
    <w:rsid w:val="00533B58"/>
    <w:rsid w:val="00533F43"/>
    <w:rsid w:val="005450E0"/>
    <w:rsid w:val="00545545"/>
    <w:rsid w:val="005457D7"/>
    <w:rsid w:val="00546732"/>
    <w:rsid w:val="00552D27"/>
    <w:rsid w:val="00553882"/>
    <w:rsid w:val="005547CF"/>
    <w:rsid w:val="005625AA"/>
    <w:rsid w:val="005636F2"/>
    <w:rsid w:val="0056500C"/>
    <w:rsid w:val="00565C82"/>
    <w:rsid w:val="005739B7"/>
    <w:rsid w:val="00573AE3"/>
    <w:rsid w:val="00576B90"/>
    <w:rsid w:val="00577992"/>
    <w:rsid w:val="005801D4"/>
    <w:rsid w:val="00584BA0"/>
    <w:rsid w:val="005912B4"/>
    <w:rsid w:val="0059709F"/>
    <w:rsid w:val="005A0F56"/>
    <w:rsid w:val="005A1B44"/>
    <w:rsid w:val="005A4546"/>
    <w:rsid w:val="005A748E"/>
    <w:rsid w:val="005B0AD7"/>
    <w:rsid w:val="005B32DC"/>
    <w:rsid w:val="005B5469"/>
    <w:rsid w:val="005B5969"/>
    <w:rsid w:val="005D1232"/>
    <w:rsid w:val="005D384B"/>
    <w:rsid w:val="005D3C5F"/>
    <w:rsid w:val="005D5499"/>
    <w:rsid w:val="005D73EB"/>
    <w:rsid w:val="005E7DCC"/>
    <w:rsid w:val="005F0E41"/>
    <w:rsid w:val="005F1A46"/>
    <w:rsid w:val="005F7608"/>
    <w:rsid w:val="00602FA8"/>
    <w:rsid w:val="00604486"/>
    <w:rsid w:val="0061061E"/>
    <w:rsid w:val="00613456"/>
    <w:rsid w:val="0061464A"/>
    <w:rsid w:val="006158DE"/>
    <w:rsid w:val="006208A2"/>
    <w:rsid w:val="00621748"/>
    <w:rsid w:val="00624716"/>
    <w:rsid w:val="006272AC"/>
    <w:rsid w:val="00633437"/>
    <w:rsid w:val="00634715"/>
    <w:rsid w:val="00644E37"/>
    <w:rsid w:val="00645690"/>
    <w:rsid w:val="00647B5A"/>
    <w:rsid w:val="00651E4C"/>
    <w:rsid w:val="00654FE6"/>
    <w:rsid w:val="006612E1"/>
    <w:rsid w:val="0066400C"/>
    <w:rsid w:val="006655E8"/>
    <w:rsid w:val="00666C45"/>
    <w:rsid w:val="006679F5"/>
    <w:rsid w:val="006754FF"/>
    <w:rsid w:val="00676997"/>
    <w:rsid w:val="00680857"/>
    <w:rsid w:val="00684A6B"/>
    <w:rsid w:val="00684EF7"/>
    <w:rsid w:val="006876E7"/>
    <w:rsid w:val="00691EAA"/>
    <w:rsid w:val="00693F75"/>
    <w:rsid w:val="00694F64"/>
    <w:rsid w:val="006A0180"/>
    <w:rsid w:val="006A6BDB"/>
    <w:rsid w:val="006B2F95"/>
    <w:rsid w:val="006B4468"/>
    <w:rsid w:val="006B723C"/>
    <w:rsid w:val="006C1D32"/>
    <w:rsid w:val="006C701E"/>
    <w:rsid w:val="006D05B4"/>
    <w:rsid w:val="006D0AF7"/>
    <w:rsid w:val="006D47EA"/>
    <w:rsid w:val="006D701A"/>
    <w:rsid w:val="006E4E83"/>
    <w:rsid w:val="006E63D9"/>
    <w:rsid w:val="006F0103"/>
    <w:rsid w:val="006F23D5"/>
    <w:rsid w:val="006F3265"/>
    <w:rsid w:val="006F5DB7"/>
    <w:rsid w:val="006F6043"/>
    <w:rsid w:val="006F7BDB"/>
    <w:rsid w:val="00703362"/>
    <w:rsid w:val="007053EF"/>
    <w:rsid w:val="00706FA0"/>
    <w:rsid w:val="0071378A"/>
    <w:rsid w:val="00722ED7"/>
    <w:rsid w:val="0072311E"/>
    <w:rsid w:val="00730420"/>
    <w:rsid w:val="00733DC5"/>
    <w:rsid w:val="007341EF"/>
    <w:rsid w:val="00734F7E"/>
    <w:rsid w:val="00736196"/>
    <w:rsid w:val="00736646"/>
    <w:rsid w:val="00736970"/>
    <w:rsid w:val="00742B7C"/>
    <w:rsid w:val="00746C56"/>
    <w:rsid w:val="00746ED2"/>
    <w:rsid w:val="0074711F"/>
    <w:rsid w:val="007479D1"/>
    <w:rsid w:val="00747DD4"/>
    <w:rsid w:val="0075232B"/>
    <w:rsid w:val="007540AC"/>
    <w:rsid w:val="007541F2"/>
    <w:rsid w:val="00755593"/>
    <w:rsid w:val="00757E63"/>
    <w:rsid w:val="007613CE"/>
    <w:rsid w:val="007646FA"/>
    <w:rsid w:val="0076484D"/>
    <w:rsid w:val="00767A5F"/>
    <w:rsid w:val="00773225"/>
    <w:rsid w:val="0077678A"/>
    <w:rsid w:val="007769EC"/>
    <w:rsid w:val="00777CE4"/>
    <w:rsid w:val="0078386D"/>
    <w:rsid w:val="0079092E"/>
    <w:rsid w:val="0079115F"/>
    <w:rsid w:val="007932A9"/>
    <w:rsid w:val="007932EB"/>
    <w:rsid w:val="0079379B"/>
    <w:rsid w:val="0079387C"/>
    <w:rsid w:val="00795A83"/>
    <w:rsid w:val="00795C68"/>
    <w:rsid w:val="00797230"/>
    <w:rsid w:val="00797BDD"/>
    <w:rsid w:val="007A036E"/>
    <w:rsid w:val="007A3129"/>
    <w:rsid w:val="007A4FC8"/>
    <w:rsid w:val="007A5840"/>
    <w:rsid w:val="007A7543"/>
    <w:rsid w:val="007B2019"/>
    <w:rsid w:val="007B212A"/>
    <w:rsid w:val="007B61BF"/>
    <w:rsid w:val="007B7077"/>
    <w:rsid w:val="007B7276"/>
    <w:rsid w:val="007C1B8E"/>
    <w:rsid w:val="007C6F4F"/>
    <w:rsid w:val="007C7FBD"/>
    <w:rsid w:val="007E2618"/>
    <w:rsid w:val="007E47B7"/>
    <w:rsid w:val="007E5BD9"/>
    <w:rsid w:val="007E677A"/>
    <w:rsid w:val="007E78DC"/>
    <w:rsid w:val="007E78FE"/>
    <w:rsid w:val="007F46E2"/>
    <w:rsid w:val="007F4BB6"/>
    <w:rsid w:val="007F5560"/>
    <w:rsid w:val="007F6C61"/>
    <w:rsid w:val="00801188"/>
    <w:rsid w:val="008033A0"/>
    <w:rsid w:val="00803D85"/>
    <w:rsid w:val="00804479"/>
    <w:rsid w:val="00814FD3"/>
    <w:rsid w:val="00815A19"/>
    <w:rsid w:val="0082288D"/>
    <w:rsid w:val="00825477"/>
    <w:rsid w:val="008256D5"/>
    <w:rsid w:val="00827C4F"/>
    <w:rsid w:val="00827CEC"/>
    <w:rsid w:val="00834305"/>
    <w:rsid w:val="008347AD"/>
    <w:rsid w:val="00837818"/>
    <w:rsid w:val="008431F5"/>
    <w:rsid w:val="00843E5E"/>
    <w:rsid w:val="00844239"/>
    <w:rsid w:val="0084696E"/>
    <w:rsid w:val="0085073D"/>
    <w:rsid w:val="00850AEB"/>
    <w:rsid w:val="00850B01"/>
    <w:rsid w:val="008512AC"/>
    <w:rsid w:val="00865481"/>
    <w:rsid w:val="00872C72"/>
    <w:rsid w:val="00876279"/>
    <w:rsid w:val="00880DC5"/>
    <w:rsid w:val="00883524"/>
    <w:rsid w:val="00884E6D"/>
    <w:rsid w:val="0088687E"/>
    <w:rsid w:val="00891FAC"/>
    <w:rsid w:val="0089266B"/>
    <w:rsid w:val="008945DF"/>
    <w:rsid w:val="00895F9E"/>
    <w:rsid w:val="00896705"/>
    <w:rsid w:val="00896F75"/>
    <w:rsid w:val="0089748B"/>
    <w:rsid w:val="008A25A5"/>
    <w:rsid w:val="008B2EF2"/>
    <w:rsid w:val="008B3C64"/>
    <w:rsid w:val="008B62C3"/>
    <w:rsid w:val="008C04DD"/>
    <w:rsid w:val="008C2EAA"/>
    <w:rsid w:val="008C53A8"/>
    <w:rsid w:val="008C58ED"/>
    <w:rsid w:val="008C6018"/>
    <w:rsid w:val="008D28C6"/>
    <w:rsid w:val="008D4906"/>
    <w:rsid w:val="008D4EC9"/>
    <w:rsid w:val="008D6904"/>
    <w:rsid w:val="008D7290"/>
    <w:rsid w:val="008E0DD6"/>
    <w:rsid w:val="008E4DDE"/>
    <w:rsid w:val="008E4E52"/>
    <w:rsid w:val="008F2127"/>
    <w:rsid w:val="008F41C1"/>
    <w:rsid w:val="00900DDD"/>
    <w:rsid w:val="00902F98"/>
    <w:rsid w:val="00903727"/>
    <w:rsid w:val="00903948"/>
    <w:rsid w:val="00903D84"/>
    <w:rsid w:val="009119DC"/>
    <w:rsid w:val="00913C7F"/>
    <w:rsid w:val="009174C2"/>
    <w:rsid w:val="0093269A"/>
    <w:rsid w:val="00936796"/>
    <w:rsid w:val="00942B36"/>
    <w:rsid w:val="00951E90"/>
    <w:rsid w:val="0095464E"/>
    <w:rsid w:val="009551E0"/>
    <w:rsid w:val="00960F7D"/>
    <w:rsid w:val="00961380"/>
    <w:rsid w:val="00962147"/>
    <w:rsid w:val="0096393B"/>
    <w:rsid w:val="00966D5E"/>
    <w:rsid w:val="0097103F"/>
    <w:rsid w:val="00971EC1"/>
    <w:rsid w:val="009749E6"/>
    <w:rsid w:val="0097602B"/>
    <w:rsid w:val="00977126"/>
    <w:rsid w:val="00981EC5"/>
    <w:rsid w:val="0098214C"/>
    <w:rsid w:val="009874A2"/>
    <w:rsid w:val="009908D4"/>
    <w:rsid w:val="00991A6A"/>
    <w:rsid w:val="009966D6"/>
    <w:rsid w:val="00997CD3"/>
    <w:rsid w:val="009A1CFB"/>
    <w:rsid w:val="009A1F09"/>
    <w:rsid w:val="009A207B"/>
    <w:rsid w:val="009A29FE"/>
    <w:rsid w:val="009A67A2"/>
    <w:rsid w:val="009A6C1E"/>
    <w:rsid w:val="009B2BD9"/>
    <w:rsid w:val="009B3319"/>
    <w:rsid w:val="009B344F"/>
    <w:rsid w:val="009B5488"/>
    <w:rsid w:val="009B67F4"/>
    <w:rsid w:val="009C1D09"/>
    <w:rsid w:val="009C4D17"/>
    <w:rsid w:val="009C5B65"/>
    <w:rsid w:val="009D3201"/>
    <w:rsid w:val="009D3FF2"/>
    <w:rsid w:val="009E140A"/>
    <w:rsid w:val="009E443B"/>
    <w:rsid w:val="009F2008"/>
    <w:rsid w:val="009F4668"/>
    <w:rsid w:val="009F5760"/>
    <w:rsid w:val="00A000CA"/>
    <w:rsid w:val="00A02262"/>
    <w:rsid w:val="00A04D91"/>
    <w:rsid w:val="00A0769B"/>
    <w:rsid w:val="00A129A0"/>
    <w:rsid w:val="00A15450"/>
    <w:rsid w:val="00A15CE8"/>
    <w:rsid w:val="00A161C0"/>
    <w:rsid w:val="00A2092D"/>
    <w:rsid w:val="00A26109"/>
    <w:rsid w:val="00A26794"/>
    <w:rsid w:val="00A300ED"/>
    <w:rsid w:val="00A31B87"/>
    <w:rsid w:val="00A36975"/>
    <w:rsid w:val="00A36DF3"/>
    <w:rsid w:val="00A40223"/>
    <w:rsid w:val="00A40D56"/>
    <w:rsid w:val="00A4361E"/>
    <w:rsid w:val="00A51D4A"/>
    <w:rsid w:val="00A57F37"/>
    <w:rsid w:val="00A601D6"/>
    <w:rsid w:val="00A625FC"/>
    <w:rsid w:val="00A65983"/>
    <w:rsid w:val="00A664F2"/>
    <w:rsid w:val="00A7289B"/>
    <w:rsid w:val="00A73A7E"/>
    <w:rsid w:val="00A73D3A"/>
    <w:rsid w:val="00A74233"/>
    <w:rsid w:val="00A767F7"/>
    <w:rsid w:val="00A804BB"/>
    <w:rsid w:val="00A80F25"/>
    <w:rsid w:val="00A83037"/>
    <w:rsid w:val="00A84CEA"/>
    <w:rsid w:val="00A860BF"/>
    <w:rsid w:val="00A91E15"/>
    <w:rsid w:val="00A924FC"/>
    <w:rsid w:val="00A95614"/>
    <w:rsid w:val="00A96468"/>
    <w:rsid w:val="00A96AD7"/>
    <w:rsid w:val="00A97219"/>
    <w:rsid w:val="00A974E8"/>
    <w:rsid w:val="00A97EB7"/>
    <w:rsid w:val="00AB3E5B"/>
    <w:rsid w:val="00AB51A4"/>
    <w:rsid w:val="00AC16A0"/>
    <w:rsid w:val="00AC2808"/>
    <w:rsid w:val="00AC608F"/>
    <w:rsid w:val="00AD053C"/>
    <w:rsid w:val="00AD1724"/>
    <w:rsid w:val="00AD3791"/>
    <w:rsid w:val="00AD3795"/>
    <w:rsid w:val="00AD66F8"/>
    <w:rsid w:val="00AE1C10"/>
    <w:rsid w:val="00AE2B57"/>
    <w:rsid w:val="00AE5626"/>
    <w:rsid w:val="00AF0448"/>
    <w:rsid w:val="00AF062B"/>
    <w:rsid w:val="00AF4C52"/>
    <w:rsid w:val="00B025AE"/>
    <w:rsid w:val="00B037E9"/>
    <w:rsid w:val="00B043FE"/>
    <w:rsid w:val="00B102C3"/>
    <w:rsid w:val="00B107BA"/>
    <w:rsid w:val="00B10DAF"/>
    <w:rsid w:val="00B11C5C"/>
    <w:rsid w:val="00B14BCC"/>
    <w:rsid w:val="00B249C5"/>
    <w:rsid w:val="00B260FD"/>
    <w:rsid w:val="00B2618F"/>
    <w:rsid w:val="00B269B5"/>
    <w:rsid w:val="00B2733D"/>
    <w:rsid w:val="00B27AED"/>
    <w:rsid w:val="00B30344"/>
    <w:rsid w:val="00B31021"/>
    <w:rsid w:val="00B33DBF"/>
    <w:rsid w:val="00B34B9C"/>
    <w:rsid w:val="00B3683B"/>
    <w:rsid w:val="00B36EF1"/>
    <w:rsid w:val="00B37027"/>
    <w:rsid w:val="00B470AE"/>
    <w:rsid w:val="00B50200"/>
    <w:rsid w:val="00B510D1"/>
    <w:rsid w:val="00B654F0"/>
    <w:rsid w:val="00B65EBD"/>
    <w:rsid w:val="00B74B32"/>
    <w:rsid w:val="00B7701E"/>
    <w:rsid w:val="00B77392"/>
    <w:rsid w:val="00B80A92"/>
    <w:rsid w:val="00B811CC"/>
    <w:rsid w:val="00B819A5"/>
    <w:rsid w:val="00B84449"/>
    <w:rsid w:val="00B912E7"/>
    <w:rsid w:val="00B9184B"/>
    <w:rsid w:val="00B95137"/>
    <w:rsid w:val="00B95D05"/>
    <w:rsid w:val="00B9671F"/>
    <w:rsid w:val="00B97240"/>
    <w:rsid w:val="00B97F3E"/>
    <w:rsid w:val="00BA72CC"/>
    <w:rsid w:val="00BB01C9"/>
    <w:rsid w:val="00BB4AD7"/>
    <w:rsid w:val="00BC1475"/>
    <w:rsid w:val="00BC1661"/>
    <w:rsid w:val="00BC2515"/>
    <w:rsid w:val="00BC3DB9"/>
    <w:rsid w:val="00BC4FD7"/>
    <w:rsid w:val="00BC577F"/>
    <w:rsid w:val="00BD170B"/>
    <w:rsid w:val="00BD36F5"/>
    <w:rsid w:val="00BD5A02"/>
    <w:rsid w:val="00BD5CB8"/>
    <w:rsid w:val="00BE01C7"/>
    <w:rsid w:val="00BE2661"/>
    <w:rsid w:val="00BE6871"/>
    <w:rsid w:val="00BE6A8F"/>
    <w:rsid w:val="00BE7D2A"/>
    <w:rsid w:val="00BF34C7"/>
    <w:rsid w:val="00BF3657"/>
    <w:rsid w:val="00BF4545"/>
    <w:rsid w:val="00BF52C9"/>
    <w:rsid w:val="00BF6C86"/>
    <w:rsid w:val="00C01200"/>
    <w:rsid w:val="00C025BE"/>
    <w:rsid w:val="00C02641"/>
    <w:rsid w:val="00C05330"/>
    <w:rsid w:val="00C068B2"/>
    <w:rsid w:val="00C13032"/>
    <w:rsid w:val="00C13D26"/>
    <w:rsid w:val="00C23408"/>
    <w:rsid w:val="00C27484"/>
    <w:rsid w:val="00C31C2C"/>
    <w:rsid w:val="00C36EDE"/>
    <w:rsid w:val="00C42EDD"/>
    <w:rsid w:val="00C4420B"/>
    <w:rsid w:val="00C4505A"/>
    <w:rsid w:val="00C55C0A"/>
    <w:rsid w:val="00C562C3"/>
    <w:rsid w:val="00C70A4F"/>
    <w:rsid w:val="00C724F0"/>
    <w:rsid w:val="00C728FF"/>
    <w:rsid w:val="00C729E5"/>
    <w:rsid w:val="00C7480A"/>
    <w:rsid w:val="00C75392"/>
    <w:rsid w:val="00C7731E"/>
    <w:rsid w:val="00C84975"/>
    <w:rsid w:val="00C94326"/>
    <w:rsid w:val="00C97CC2"/>
    <w:rsid w:val="00CA20F1"/>
    <w:rsid w:val="00CA51E3"/>
    <w:rsid w:val="00CA5F88"/>
    <w:rsid w:val="00CA7842"/>
    <w:rsid w:val="00CB0FCE"/>
    <w:rsid w:val="00CB3481"/>
    <w:rsid w:val="00CB4B76"/>
    <w:rsid w:val="00CB6D0B"/>
    <w:rsid w:val="00CC1CD0"/>
    <w:rsid w:val="00CC29F0"/>
    <w:rsid w:val="00CC3179"/>
    <w:rsid w:val="00CC52BC"/>
    <w:rsid w:val="00CD2A04"/>
    <w:rsid w:val="00CD4EA1"/>
    <w:rsid w:val="00CD501A"/>
    <w:rsid w:val="00CD6B57"/>
    <w:rsid w:val="00CE1DB6"/>
    <w:rsid w:val="00CE2533"/>
    <w:rsid w:val="00CE39F9"/>
    <w:rsid w:val="00CE5D4D"/>
    <w:rsid w:val="00CF1EA8"/>
    <w:rsid w:val="00CF2ABF"/>
    <w:rsid w:val="00CF397F"/>
    <w:rsid w:val="00CF5559"/>
    <w:rsid w:val="00CF5C6B"/>
    <w:rsid w:val="00CF76E8"/>
    <w:rsid w:val="00CF7A56"/>
    <w:rsid w:val="00D00874"/>
    <w:rsid w:val="00D05FA1"/>
    <w:rsid w:val="00D07FC7"/>
    <w:rsid w:val="00D10435"/>
    <w:rsid w:val="00D1095E"/>
    <w:rsid w:val="00D124CF"/>
    <w:rsid w:val="00D12C60"/>
    <w:rsid w:val="00D14CE7"/>
    <w:rsid w:val="00D15A36"/>
    <w:rsid w:val="00D22B29"/>
    <w:rsid w:val="00D22C27"/>
    <w:rsid w:val="00D32AB4"/>
    <w:rsid w:val="00D45675"/>
    <w:rsid w:val="00D46E62"/>
    <w:rsid w:val="00D50387"/>
    <w:rsid w:val="00D56606"/>
    <w:rsid w:val="00D56EA3"/>
    <w:rsid w:val="00D602DF"/>
    <w:rsid w:val="00D63953"/>
    <w:rsid w:val="00D64771"/>
    <w:rsid w:val="00D65754"/>
    <w:rsid w:val="00D71A89"/>
    <w:rsid w:val="00D71D8D"/>
    <w:rsid w:val="00D73E3D"/>
    <w:rsid w:val="00D74F5E"/>
    <w:rsid w:val="00D7684A"/>
    <w:rsid w:val="00D76BBA"/>
    <w:rsid w:val="00D878B1"/>
    <w:rsid w:val="00D93C53"/>
    <w:rsid w:val="00DA0C22"/>
    <w:rsid w:val="00DA3BE2"/>
    <w:rsid w:val="00DA7BF1"/>
    <w:rsid w:val="00DB0FBF"/>
    <w:rsid w:val="00DB181A"/>
    <w:rsid w:val="00DB248D"/>
    <w:rsid w:val="00DB2E37"/>
    <w:rsid w:val="00DB3502"/>
    <w:rsid w:val="00DB36CF"/>
    <w:rsid w:val="00DB37B5"/>
    <w:rsid w:val="00DB46EA"/>
    <w:rsid w:val="00DB4C69"/>
    <w:rsid w:val="00DB4C92"/>
    <w:rsid w:val="00DC698C"/>
    <w:rsid w:val="00DD2253"/>
    <w:rsid w:val="00DD6AF1"/>
    <w:rsid w:val="00DE044E"/>
    <w:rsid w:val="00DE0B1F"/>
    <w:rsid w:val="00DE1A76"/>
    <w:rsid w:val="00DE20C7"/>
    <w:rsid w:val="00DE3176"/>
    <w:rsid w:val="00DE4BE5"/>
    <w:rsid w:val="00DF07B4"/>
    <w:rsid w:val="00DF4B0D"/>
    <w:rsid w:val="00DF4D21"/>
    <w:rsid w:val="00DF57C6"/>
    <w:rsid w:val="00DF5D7F"/>
    <w:rsid w:val="00DF6028"/>
    <w:rsid w:val="00DF78CC"/>
    <w:rsid w:val="00E014DF"/>
    <w:rsid w:val="00E0232A"/>
    <w:rsid w:val="00E02684"/>
    <w:rsid w:val="00E07B8D"/>
    <w:rsid w:val="00E07FFE"/>
    <w:rsid w:val="00E10419"/>
    <w:rsid w:val="00E10767"/>
    <w:rsid w:val="00E10EEF"/>
    <w:rsid w:val="00E11ADB"/>
    <w:rsid w:val="00E12016"/>
    <w:rsid w:val="00E16E75"/>
    <w:rsid w:val="00E20368"/>
    <w:rsid w:val="00E32E02"/>
    <w:rsid w:val="00E33D48"/>
    <w:rsid w:val="00E374E5"/>
    <w:rsid w:val="00E40368"/>
    <w:rsid w:val="00E4139B"/>
    <w:rsid w:val="00E42B58"/>
    <w:rsid w:val="00E45E50"/>
    <w:rsid w:val="00E463CF"/>
    <w:rsid w:val="00E46C64"/>
    <w:rsid w:val="00E47AB6"/>
    <w:rsid w:val="00E505A4"/>
    <w:rsid w:val="00E50B9C"/>
    <w:rsid w:val="00E53D3D"/>
    <w:rsid w:val="00E55CEE"/>
    <w:rsid w:val="00E56FF4"/>
    <w:rsid w:val="00E62086"/>
    <w:rsid w:val="00E622ED"/>
    <w:rsid w:val="00E65632"/>
    <w:rsid w:val="00E67E37"/>
    <w:rsid w:val="00E73112"/>
    <w:rsid w:val="00E74FB5"/>
    <w:rsid w:val="00E77659"/>
    <w:rsid w:val="00E80C1E"/>
    <w:rsid w:val="00E83AA1"/>
    <w:rsid w:val="00E83E3C"/>
    <w:rsid w:val="00E85645"/>
    <w:rsid w:val="00E879E0"/>
    <w:rsid w:val="00E920A5"/>
    <w:rsid w:val="00E930D4"/>
    <w:rsid w:val="00E93458"/>
    <w:rsid w:val="00E936A7"/>
    <w:rsid w:val="00E93E5A"/>
    <w:rsid w:val="00EA23BC"/>
    <w:rsid w:val="00EA54AB"/>
    <w:rsid w:val="00EA5E25"/>
    <w:rsid w:val="00EA5F2A"/>
    <w:rsid w:val="00EB4666"/>
    <w:rsid w:val="00EB7DCF"/>
    <w:rsid w:val="00EC014C"/>
    <w:rsid w:val="00EC083F"/>
    <w:rsid w:val="00EC36AA"/>
    <w:rsid w:val="00EC647B"/>
    <w:rsid w:val="00EC6A8D"/>
    <w:rsid w:val="00EC70B1"/>
    <w:rsid w:val="00ED06E4"/>
    <w:rsid w:val="00ED0732"/>
    <w:rsid w:val="00EE2C01"/>
    <w:rsid w:val="00EE5A85"/>
    <w:rsid w:val="00EE7EA3"/>
    <w:rsid w:val="00EF320B"/>
    <w:rsid w:val="00EF36DC"/>
    <w:rsid w:val="00EF42D2"/>
    <w:rsid w:val="00EF5410"/>
    <w:rsid w:val="00EF6275"/>
    <w:rsid w:val="00F02977"/>
    <w:rsid w:val="00F03AFF"/>
    <w:rsid w:val="00F03D18"/>
    <w:rsid w:val="00F1189D"/>
    <w:rsid w:val="00F12A40"/>
    <w:rsid w:val="00F14DB3"/>
    <w:rsid w:val="00F16587"/>
    <w:rsid w:val="00F22431"/>
    <w:rsid w:val="00F2287B"/>
    <w:rsid w:val="00F24FC5"/>
    <w:rsid w:val="00F25F20"/>
    <w:rsid w:val="00F33493"/>
    <w:rsid w:val="00F354A5"/>
    <w:rsid w:val="00F40358"/>
    <w:rsid w:val="00F42596"/>
    <w:rsid w:val="00F45E7D"/>
    <w:rsid w:val="00F46DBD"/>
    <w:rsid w:val="00F53E84"/>
    <w:rsid w:val="00F54FDF"/>
    <w:rsid w:val="00F57031"/>
    <w:rsid w:val="00F6234C"/>
    <w:rsid w:val="00F63539"/>
    <w:rsid w:val="00F74548"/>
    <w:rsid w:val="00F770E4"/>
    <w:rsid w:val="00F80FA6"/>
    <w:rsid w:val="00F81922"/>
    <w:rsid w:val="00F81C5B"/>
    <w:rsid w:val="00F82804"/>
    <w:rsid w:val="00F8559A"/>
    <w:rsid w:val="00F879C9"/>
    <w:rsid w:val="00F87B05"/>
    <w:rsid w:val="00F9085F"/>
    <w:rsid w:val="00F93231"/>
    <w:rsid w:val="00F935E3"/>
    <w:rsid w:val="00F93B85"/>
    <w:rsid w:val="00F95572"/>
    <w:rsid w:val="00F9603E"/>
    <w:rsid w:val="00F96A63"/>
    <w:rsid w:val="00FA06FF"/>
    <w:rsid w:val="00FA0BF1"/>
    <w:rsid w:val="00FA189B"/>
    <w:rsid w:val="00FA1E54"/>
    <w:rsid w:val="00FA2C8B"/>
    <w:rsid w:val="00FA3545"/>
    <w:rsid w:val="00FA63B0"/>
    <w:rsid w:val="00FB0BEE"/>
    <w:rsid w:val="00FB0C3C"/>
    <w:rsid w:val="00FB745A"/>
    <w:rsid w:val="00FC00D9"/>
    <w:rsid w:val="00FC5096"/>
    <w:rsid w:val="00FC55A5"/>
    <w:rsid w:val="00FD2077"/>
    <w:rsid w:val="00FD3CCD"/>
    <w:rsid w:val="00FD5388"/>
    <w:rsid w:val="00FD6E2D"/>
    <w:rsid w:val="00FE2858"/>
    <w:rsid w:val="00FE57BE"/>
    <w:rsid w:val="00FE7D6B"/>
    <w:rsid w:val="00FF157E"/>
    <w:rsid w:val="00FF2078"/>
    <w:rsid w:val="00FF7648"/>
    <w:rsid w:val="02604634"/>
    <w:rsid w:val="060A2B37"/>
    <w:rsid w:val="0E0E685D"/>
    <w:rsid w:val="11657B94"/>
    <w:rsid w:val="16C531D6"/>
    <w:rsid w:val="1C1870DC"/>
    <w:rsid w:val="26B34440"/>
    <w:rsid w:val="28832424"/>
    <w:rsid w:val="2CED26E7"/>
    <w:rsid w:val="2DE97F4A"/>
    <w:rsid w:val="2E5363CC"/>
    <w:rsid w:val="2EBA484A"/>
    <w:rsid w:val="2FAF45CB"/>
    <w:rsid w:val="30B7204B"/>
    <w:rsid w:val="388E51E6"/>
    <w:rsid w:val="3E155F41"/>
    <w:rsid w:val="3E58245A"/>
    <w:rsid w:val="46A03F90"/>
    <w:rsid w:val="4775653B"/>
    <w:rsid w:val="4B3C2D5F"/>
    <w:rsid w:val="4EBE435D"/>
    <w:rsid w:val="4EF241A3"/>
    <w:rsid w:val="527C7702"/>
    <w:rsid w:val="549F610D"/>
    <w:rsid w:val="58A106A5"/>
    <w:rsid w:val="59013A3D"/>
    <w:rsid w:val="5A2C21F1"/>
    <w:rsid w:val="5A7558E9"/>
    <w:rsid w:val="5CB95046"/>
    <w:rsid w:val="62542270"/>
    <w:rsid w:val="6E056B89"/>
    <w:rsid w:val="7B7F61CD"/>
    <w:rsid w:val="7C18217D"/>
    <w:rsid w:val="7C5C1253"/>
    <w:rsid w:val="7CCC3693"/>
    <w:rsid w:val="7D83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uiPriority="0" w:qFormat="1"/>
    <w:lsdException w:name="annotation text" w:uiPriority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page number" w:semiHidden="0" w:uiPriority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qFormat="1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qFormat="1"/>
    <w:lsdException w:name="Plain Text" w:semiHidden="0" w:qFormat="1"/>
    <w:lsdException w:name="HTML Preformatted" w:semiHidden="0" w:uiPriority="0" w:qFormat="1"/>
    <w:lsdException w:name="Normal Table" w:qFormat="1"/>
    <w:lsdException w:name="annotation subject" w:uiPriority="0" w:qFormat="1"/>
    <w:lsdException w:name="Table Web 2" w:unhideWhenUsed="0"/>
    <w:lsdException w:name="Table Web 3" w:unhideWhenUsed="0"/>
    <w:lsdException w:name="Balloon Text" w:uiPriority="0" w:unhideWhenUsed="0" w:qFormat="1"/>
    <w:lsdException w:name="Table Grid" w:uiPriority="59" w:unhideWhenUsed="0" w:qFormat="1"/>
    <w:lsdException w:name="Table Theme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/>
    <w:lsdException w:name="Intense Quote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44677"/>
    <w:pPr>
      <w:keepNext/>
      <w:keepLines/>
      <w:spacing w:before="60" w:after="60"/>
      <w:outlineLvl w:val="0"/>
    </w:pPr>
    <w:rPr>
      <w:b/>
      <w:bCs/>
      <w:kern w:val="44"/>
      <w:sz w:val="24"/>
      <w:szCs w:val="44"/>
      <w:lang w:val="zh-CN"/>
    </w:rPr>
  </w:style>
  <w:style w:type="paragraph" w:styleId="2">
    <w:name w:val="heading 2"/>
    <w:next w:val="a"/>
    <w:link w:val="2Char"/>
    <w:qFormat/>
    <w:rsid w:val="00144677"/>
    <w:pPr>
      <w:keepNext/>
      <w:keepLines/>
      <w:spacing w:before="240"/>
      <w:outlineLvl w:val="1"/>
    </w:pPr>
    <w:rPr>
      <w:rFonts w:ascii="Arial" w:hAnsi="Arial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qFormat/>
    <w:rsid w:val="00144677"/>
    <w:pPr>
      <w:ind w:leftChars="1200" w:left="2520"/>
    </w:pPr>
  </w:style>
  <w:style w:type="paragraph" w:styleId="a3">
    <w:name w:val="Normal Indent"/>
    <w:basedOn w:val="a"/>
    <w:qFormat/>
    <w:rsid w:val="00144677"/>
    <w:pPr>
      <w:ind w:firstLineChars="200" w:firstLine="420"/>
    </w:pPr>
    <w:rPr>
      <w:sz w:val="24"/>
    </w:rPr>
  </w:style>
  <w:style w:type="paragraph" w:styleId="a4">
    <w:name w:val="Document Map"/>
    <w:basedOn w:val="a"/>
    <w:link w:val="Char"/>
    <w:qFormat/>
    <w:rsid w:val="00144677"/>
    <w:rPr>
      <w:rFonts w:ascii="宋体" w:eastAsiaTheme="minorEastAsia" w:hAnsiTheme="minorHAnsi" w:cstheme="minorBidi"/>
      <w:sz w:val="18"/>
      <w:szCs w:val="18"/>
    </w:rPr>
  </w:style>
  <w:style w:type="paragraph" w:styleId="a5">
    <w:name w:val="annotation text"/>
    <w:basedOn w:val="a"/>
    <w:link w:val="Char0"/>
    <w:semiHidden/>
    <w:qFormat/>
    <w:rsid w:val="00144677"/>
    <w:pPr>
      <w:jc w:val="left"/>
    </w:pPr>
  </w:style>
  <w:style w:type="paragraph" w:styleId="5">
    <w:name w:val="toc 5"/>
    <w:basedOn w:val="a"/>
    <w:next w:val="a"/>
    <w:uiPriority w:val="39"/>
    <w:qFormat/>
    <w:rsid w:val="00144677"/>
    <w:pPr>
      <w:ind w:leftChars="800" w:left="1680"/>
    </w:pPr>
  </w:style>
  <w:style w:type="paragraph" w:styleId="3">
    <w:name w:val="toc 3"/>
    <w:basedOn w:val="a"/>
    <w:next w:val="a"/>
    <w:uiPriority w:val="39"/>
    <w:qFormat/>
    <w:rsid w:val="00144677"/>
    <w:pPr>
      <w:ind w:leftChars="400" w:left="840"/>
    </w:pPr>
  </w:style>
  <w:style w:type="paragraph" w:styleId="a6">
    <w:name w:val="Plain Text"/>
    <w:basedOn w:val="a"/>
    <w:link w:val="Char1"/>
    <w:uiPriority w:val="99"/>
    <w:qFormat/>
    <w:rsid w:val="00144677"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qFormat/>
    <w:rsid w:val="00144677"/>
    <w:pPr>
      <w:ind w:leftChars="1400" w:left="2940"/>
    </w:pPr>
  </w:style>
  <w:style w:type="paragraph" w:styleId="20">
    <w:name w:val="Body Text Indent 2"/>
    <w:basedOn w:val="a"/>
    <w:link w:val="2Char0"/>
    <w:qFormat/>
    <w:rsid w:val="00144677"/>
    <w:pPr>
      <w:snapToGrid w:val="0"/>
      <w:spacing w:line="300" w:lineRule="auto"/>
      <w:ind w:firstLine="630"/>
    </w:pPr>
    <w:rPr>
      <w:rFonts w:ascii="宋体" w:hAnsi="宋体"/>
    </w:rPr>
  </w:style>
  <w:style w:type="paragraph" w:styleId="a7">
    <w:name w:val="endnote text"/>
    <w:basedOn w:val="a"/>
    <w:qFormat/>
    <w:rsid w:val="00144677"/>
    <w:pPr>
      <w:snapToGrid w:val="0"/>
      <w:jc w:val="left"/>
    </w:pPr>
  </w:style>
  <w:style w:type="paragraph" w:styleId="a8">
    <w:name w:val="Balloon Text"/>
    <w:basedOn w:val="a"/>
    <w:link w:val="Char2"/>
    <w:semiHidden/>
    <w:qFormat/>
    <w:rsid w:val="00144677"/>
    <w:rPr>
      <w:sz w:val="18"/>
      <w:szCs w:val="18"/>
    </w:rPr>
  </w:style>
  <w:style w:type="paragraph" w:styleId="a9">
    <w:name w:val="footer"/>
    <w:basedOn w:val="a"/>
    <w:link w:val="Char3"/>
    <w:qFormat/>
    <w:rsid w:val="001446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4"/>
    <w:qFormat/>
    <w:rsid w:val="001446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144677"/>
  </w:style>
  <w:style w:type="paragraph" w:styleId="4">
    <w:name w:val="toc 4"/>
    <w:basedOn w:val="a"/>
    <w:next w:val="a"/>
    <w:uiPriority w:val="39"/>
    <w:qFormat/>
    <w:rsid w:val="00144677"/>
    <w:pPr>
      <w:ind w:leftChars="600" w:left="1260"/>
    </w:pPr>
  </w:style>
  <w:style w:type="paragraph" w:styleId="6">
    <w:name w:val="toc 6"/>
    <w:basedOn w:val="a"/>
    <w:next w:val="a"/>
    <w:uiPriority w:val="39"/>
    <w:qFormat/>
    <w:rsid w:val="00144677"/>
    <w:pPr>
      <w:ind w:leftChars="1000" w:left="2100"/>
    </w:pPr>
  </w:style>
  <w:style w:type="paragraph" w:styleId="21">
    <w:name w:val="toc 2"/>
    <w:basedOn w:val="a"/>
    <w:next w:val="a"/>
    <w:uiPriority w:val="39"/>
    <w:qFormat/>
    <w:rsid w:val="00144677"/>
    <w:pPr>
      <w:ind w:leftChars="200" w:left="420"/>
    </w:pPr>
  </w:style>
  <w:style w:type="paragraph" w:styleId="9">
    <w:name w:val="toc 9"/>
    <w:basedOn w:val="a"/>
    <w:next w:val="a"/>
    <w:uiPriority w:val="39"/>
    <w:qFormat/>
    <w:rsid w:val="00144677"/>
    <w:pPr>
      <w:ind w:leftChars="1600" w:left="3360"/>
    </w:pPr>
  </w:style>
  <w:style w:type="paragraph" w:styleId="HTML">
    <w:name w:val="HTML Preformatted"/>
    <w:basedOn w:val="a"/>
    <w:link w:val="HTMLChar"/>
    <w:qFormat/>
    <w:rsid w:val="001446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rsid w:val="001446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5"/>
    <w:next w:val="a5"/>
    <w:link w:val="Char6"/>
    <w:semiHidden/>
    <w:qFormat/>
    <w:rsid w:val="00144677"/>
    <w:rPr>
      <w:b/>
      <w:bCs/>
    </w:rPr>
  </w:style>
  <w:style w:type="table" w:styleId="ad">
    <w:name w:val="Table Grid"/>
    <w:basedOn w:val="a1"/>
    <w:uiPriority w:val="59"/>
    <w:qFormat/>
    <w:rsid w:val="00144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144677"/>
    <w:rPr>
      <w:rFonts w:eastAsia="宋体"/>
      <w:b/>
      <w:bCs/>
      <w:sz w:val="24"/>
    </w:rPr>
  </w:style>
  <w:style w:type="character" w:styleId="af">
    <w:name w:val="page number"/>
    <w:basedOn w:val="a0"/>
    <w:qFormat/>
    <w:rsid w:val="00144677"/>
  </w:style>
  <w:style w:type="character" w:styleId="af0">
    <w:name w:val="FollowedHyperlink"/>
    <w:basedOn w:val="a0"/>
    <w:uiPriority w:val="99"/>
    <w:unhideWhenUsed/>
    <w:qFormat/>
    <w:rsid w:val="00144677"/>
    <w:rPr>
      <w:color w:val="800080" w:themeColor="followedHyperlink"/>
      <w:u w:val="single"/>
    </w:rPr>
  </w:style>
  <w:style w:type="character" w:styleId="af1">
    <w:name w:val="Hyperlink"/>
    <w:uiPriority w:val="99"/>
    <w:qFormat/>
    <w:rsid w:val="00144677"/>
    <w:rPr>
      <w:color w:val="0000FF"/>
      <w:u w:val="single"/>
    </w:rPr>
  </w:style>
  <w:style w:type="character" w:styleId="af2">
    <w:name w:val="annotation reference"/>
    <w:semiHidden/>
    <w:qFormat/>
    <w:rsid w:val="00144677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144677"/>
    <w:rPr>
      <w:rFonts w:ascii="Times New Roman" w:eastAsia="宋体" w:hAnsi="Times New Roman" w:cs="Times New Roman"/>
      <w:b/>
      <w:bCs/>
      <w:kern w:val="44"/>
      <w:sz w:val="24"/>
      <w:szCs w:val="44"/>
      <w:lang w:val="zh-CN" w:eastAsia="zh-CN"/>
    </w:rPr>
  </w:style>
  <w:style w:type="character" w:customStyle="1" w:styleId="2Char">
    <w:name w:val="标题 2 Char"/>
    <w:basedOn w:val="a0"/>
    <w:link w:val="2"/>
    <w:qFormat/>
    <w:rsid w:val="00144677"/>
    <w:rPr>
      <w:rFonts w:ascii="Arial" w:eastAsia="宋体" w:hAnsi="Arial" w:cs="Times New Roman"/>
      <w:b/>
      <w:bCs/>
      <w:szCs w:val="24"/>
    </w:rPr>
  </w:style>
  <w:style w:type="character" w:customStyle="1" w:styleId="Char">
    <w:name w:val="文档结构图 Char"/>
    <w:link w:val="a4"/>
    <w:qFormat/>
    <w:rsid w:val="00144677"/>
    <w:rPr>
      <w:rFonts w:ascii="宋体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sid w:val="00144677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纯文本 Char"/>
    <w:basedOn w:val="a0"/>
    <w:link w:val="a6"/>
    <w:uiPriority w:val="99"/>
    <w:qFormat/>
    <w:rsid w:val="00144677"/>
    <w:rPr>
      <w:rFonts w:ascii="宋体" w:eastAsia="宋体" w:hAnsi="Courier New" w:cs="Courier New"/>
      <w:szCs w:val="21"/>
    </w:rPr>
  </w:style>
  <w:style w:type="character" w:customStyle="1" w:styleId="2Char0">
    <w:name w:val="正文文本缩进 2 Char"/>
    <w:basedOn w:val="a0"/>
    <w:link w:val="20"/>
    <w:qFormat/>
    <w:rsid w:val="00144677"/>
    <w:rPr>
      <w:rFonts w:ascii="宋体" w:eastAsia="宋体" w:hAnsi="宋体" w:cs="Times New Roman"/>
      <w:szCs w:val="24"/>
    </w:rPr>
  </w:style>
  <w:style w:type="character" w:customStyle="1" w:styleId="Char4">
    <w:name w:val="页眉 Char"/>
    <w:basedOn w:val="a0"/>
    <w:link w:val="aa"/>
    <w:qFormat/>
    <w:rsid w:val="00144677"/>
    <w:rPr>
      <w:rFonts w:ascii="Times New Roman" w:eastAsia="宋体" w:hAnsi="Times New Roman" w:cs="Times New Roman"/>
      <w:sz w:val="18"/>
      <w:szCs w:val="24"/>
    </w:rPr>
  </w:style>
  <w:style w:type="character" w:customStyle="1" w:styleId="Char3">
    <w:name w:val="页脚 Char"/>
    <w:basedOn w:val="a0"/>
    <w:link w:val="a9"/>
    <w:qFormat/>
    <w:rsid w:val="00144677"/>
    <w:rPr>
      <w:rFonts w:ascii="Times New Roman" w:eastAsia="宋体" w:hAnsi="Times New Roman" w:cs="Times New Roman"/>
      <w:sz w:val="18"/>
      <w:szCs w:val="24"/>
    </w:rPr>
  </w:style>
  <w:style w:type="paragraph" w:customStyle="1" w:styleId="CharCharCharCharCharCharChar">
    <w:name w:val="Char Char Char Char Char Char Char"/>
    <w:basedOn w:val="a"/>
    <w:qFormat/>
    <w:rsid w:val="00144677"/>
    <w:pPr>
      <w:widowControl/>
      <w:spacing w:after="160" w:line="240" w:lineRule="exact"/>
      <w:jc w:val="left"/>
    </w:pPr>
  </w:style>
  <w:style w:type="paragraph" w:customStyle="1" w:styleId="11">
    <w:name w:val="列出段落1"/>
    <w:basedOn w:val="a"/>
    <w:uiPriority w:val="34"/>
    <w:qFormat/>
    <w:rsid w:val="00144677"/>
    <w:pPr>
      <w:ind w:firstLineChars="200" w:firstLine="420"/>
    </w:pPr>
    <w:rPr>
      <w:rFonts w:ascii="Calibri" w:hAnsi="Calibri"/>
      <w:szCs w:val="22"/>
    </w:rPr>
  </w:style>
  <w:style w:type="paragraph" w:customStyle="1" w:styleId="Char7">
    <w:name w:val="Char"/>
    <w:basedOn w:val="a"/>
    <w:qFormat/>
    <w:rsid w:val="00144677"/>
  </w:style>
  <w:style w:type="paragraph" w:customStyle="1" w:styleId="af3">
    <w:name w:val="表字"/>
    <w:qFormat/>
    <w:rsid w:val="00144677"/>
    <w:rPr>
      <w:kern w:val="2"/>
      <w:sz w:val="21"/>
      <w:szCs w:val="21"/>
    </w:rPr>
  </w:style>
  <w:style w:type="character" w:customStyle="1" w:styleId="CharChar8">
    <w:name w:val="Char Char8"/>
    <w:qFormat/>
    <w:rsid w:val="00144677"/>
    <w:rPr>
      <w:rFonts w:ascii="Times New Roman" w:hAnsi="Times New Roman"/>
      <w:b/>
      <w:bCs/>
      <w:kern w:val="44"/>
      <w:sz w:val="24"/>
      <w:szCs w:val="44"/>
    </w:rPr>
  </w:style>
  <w:style w:type="character" w:customStyle="1" w:styleId="HTMLChar">
    <w:name w:val="HTML 预设格式 Char"/>
    <w:basedOn w:val="a0"/>
    <w:link w:val="HTML"/>
    <w:qFormat/>
    <w:rsid w:val="00144677"/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144677"/>
    <w:pPr>
      <w:widowControl/>
    </w:pPr>
    <w:rPr>
      <w:kern w:val="0"/>
      <w:szCs w:val="21"/>
    </w:rPr>
  </w:style>
  <w:style w:type="character" w:customStyle="1" w:styleId="Char0">
    <w:name w:val="批注文字 Char"/>
    <w:basedOn w:val="a0"/>
    <w:link w:val="a5"/>
    <w:semiHidden/>
    <w:qFormat/>
    <w:rsid w:val="00144677"/>
    <w:rPr>
      <w:rFonts w:ascii="Times New Roman" w:eastAsia="宋体" w:hAnsi="Times New Roman" w:cs="Times New Roman"/>
      <w:szCs w:val="24"/>
    </w:rPr>
  </w:style>
  <w:style w:type="character" w:customStyle="1" w:styleId="Char6">
    <w:name w:val="批注主题 Char"/>
    <w:basedOn w:val="Char0"/>
    <w:link w:val="ac"/>
    <w:semiHidden/>
    <w:qFormat/>
    <w:rsid w:val="00144677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8"/>
    <w:semiHidden/>
    <w:qFormat/>
    <w:rsid w:val="00144677"/>
    <w:rPr>
      <w:rFonts w:ascii="Times New Roman" w:eastAsia="宋体" w:hAnsi="Times New Roman" w:cs="Times New Roman"/>
      <w:sz w:val="18"/>
      <w:szCs w:val="18"/>
    </w:rPr>
  </w:style>
  <w:style w:type="paragraph" w:customStyle="1" w:styleId="Char11">
    <w:name w:val="Char1"/>
    <w:basedOn w:val="a"/>
    <w:qFormat/>
    <w:rsid w:val="00144677"/>
    <w:rPr>
      <w:rFonts w:ascii="Tahoma" w:hAnsi="Tahoma"/>
      <w:sz w:val="24"/>
      <w:szCs w:val="20"/>
    </w:rPr>
  </w:style>
  <w:style w:type="character" w:customStyle="1" w:styleId="Char5">
    <w:name w:val="标题 Char"/>
    <w:basedOn w:val="a0"/>
    <w:link w:val="ab"/>
    <w:qFormat/>
    <w:rsid w:val="00144677"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49">
    <w:name w:val="_Style 49"/>
    <w:qFormat/>
    <w:rsid w:val="00144677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CharCharCharChar">
    <w:name w:val="Char Char Char Char Char Char Char Char"/>
    <w:basedOn w:val="a"/>
    <w:qFormat/>
    <w:rsid w:val="00144677"/>
    <w:rPr>
      <w:rFonts w:ascii="Tahoma" w:hAnsi="Tahoma"/>
      <w:sz w:val="24"/>
      <w:szCs w:val="20"/>
    </w:rPr>
  </w:style>
  <w:style w:type="paragraph" w:customStyle="1" w:styleId="CharCharCharCharCharCharCharChar1">
    <w:name w:val="Char Char Char Char Char Char Char Char1"/>
    <w:basedOn w:val="a"/>
    <w:qFormat/>
    <w:rsid w:val="00144677"/>
    <w:rPr>
      <w:rFonts w:ascii="Tahoma" w:hAnsi="Tahoma"/>
      <w:sz w:val="24"/>
      <w:szCs w:val="20"/>
    </w:rPr>
  </w:style>
  <w:style w:type="paragraph" w:styleId="af4">
    <w:name w:val="List Paragraph"/>
    <w:basedOn w:val="a"/>
    <w:uiPriority w:val="34"/>
    <w:qFormat/>
    <w:rsid w:val="00144677"/>
    <w:pPr>
      <w:ind w:firstLineChars="200" w:firstLine="420"/>
    </w:pPr>
  </w:style>
  <w:style w:type="paragraph" w:customStyle="1" w:styleId="CharChar">
    <w:name w:val="Char Char"/>
    <w:basedOn w:val="a"/>
    <w:qFormat/>
    <w:rsid w:val="00144677"/>
    <w:rPr>
      <w:rFonts w:ascii="Tahoma" w:hAnsi="Tahoma"/>
      <w:sz w:val="24"/>
      <w:szCs w:val="20"/>
    </w:rPr>
  </w:style>
  <w:style w:type="character" w:customStyle="1" w:styleId="A00">
    <w:name w:val="A0"/>
    <w:uiPriority w:val="99"/>
    <w:qFormat/>
    <w:rsid w:val="00144677"/>
    <w:rPr>
      <w:rFonts w:cs="Whitney Semibold"/>
      <w:color w:val="000000"/>
      <w:sz w:val="13"/>
      <w:szCs w:val="13"/>
    </w:rPr>
  </w:style>
  <w:style w:type="paragraph" w:customStyle="1" w:styleId="CharChar1">
    <w:name w:val="Char Char1"/>
    <w:basedOn w:val="a"/>
    <w:qFormat/>
    <w:rsid w:val="00144677"/>
    <w:rPr>
      <w:rFonts w:ascii="Tahoma" w:hAnsi="Tahoma"/>
      <w:sz w:val="24"/>
      <w:szCs w:val="20"/>
    </w:rPr>
  </w:style>
  <w:style w:type="paragraph" w:customStyle="1" w:styleId="CharChar2">
    <w:name w:val="Char Char2"/>
    <w:basedOn w:val="a"/>
    <w:qFormat/>
    <w:rsid w:val="00144677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0F5D-C20E-41E8-94B9-FBEE026E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3326</Words>
  <Characters>18959</Characters>
  <Application>Microsoft Office Word</Application>
  <DocSecurity>0</DocSecurity>
  <Lines>157</Lines>
  <Paragraphs>44</Paragraphs>
  <ScaleCrop>false</ScaleCrop>
  <Company>111</Company>
  <LinksUpToDate>false</LinksUpToDate>
  <CharactersWithSpaces>22241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</dc:creator>
  <cp:lastModifiedBy>China</cp:lastModifiedBy>
  <cp:revision>775</cp:revision>
  <dcterms:created xsi:type="dcterms:W3CDTF">2016-07-26T06:15:00Z</dcterms:created>
  <dcterms:modified xsi:type="dcterms:W3CDTF">2022-07-01T03:16:00Z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9E167E2CA75344D395409E75414D1A38</vt:lpwstr>
  </property>
</Properties>
</file>